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color w:val="auto"/>
          <w:highlight w:val="none"/>
        </w:rPr>
      </w:pPr>
      <w:bookmarkStart w:id="56" w:name="_GoBack"/>
      <w:bookmarkEnd w:id="56"/>
    </w:p>
    <w:p>
      <w:pPr>
        <w:autoSpaceDE w:val="0"/>
        <w:autoSpaceDN w:val="0"/>
        <w:adjustRightInd w:val="0"/>
        <w:jc w:val="center"/>
        <w:outlineLvl w:val="0"/>
        <w:rPr>
          <w:rFonts w:hint="eastAsia" w:ascii="黑体" w:hAnsi="黑体" w:eastAsia="黑体" w:cs="黑体"/>
          <w:b w:val="0"/>
          <w:bCs/>
          <w:color w:val="auto"/>
          <w:sz w:val="44"/>
          <w:szCs w:val="32"/>
          <w:highlight w:val="none"/>
          <w:u w:val="none"/>
          <w:lang w:val="zh-CN"/>
        </w:rPr>
      </w:pPr>
      <w:bookmarkStart w:id="0" w:name="_Toc22858"/>
      <w:r>
        <w:rPr>
          <w:rFonts w:hint="eastAsia" w:ascii="黑体" w:hAnsi="黑体" w:eastAsia="黑体" w:cs="黑体"/>
          <w:b w:val="0"/>
          <w:bCs/>
          <w:color w:val="auto"/>
          <w:sz w:val="44"/>
          <w:szCs w:val="32"/>
          <w:highlight w:val="none"/>
          <w:u w:val="none"/>
          <w:lang w:val="en-US" w:eastAsia="zh-CN"/>
        </w:rPr>
        <w:t>西城嘉园、益民阳光电梯维保服务项目</w:t>
      </w:r>
      <w:bookmarkEnd w:id="0"/>
      <w:r>
        <w:rPr>
          <w:rFonts w:hint="eastAsia" w:ascii="黑体" w:hAnsi="黑体" w:eastAsia="黑体" w:cs="黑体"/>
          <w:b w:val="0"/>
          <w:bCs/>
          <w:color w:val="auto"/>
          <w:sz w:val="44"/>
          <w:szCs w:val="32"/>
          <w:highlight w:val="none"/>
          <w:u w:val="none"/>
          <w:lang w:val="zh-CN"/>
        </w:rPr>
        <w:t xml:space="preserve"> </w:t>
      </w:r>
    </w:p>
    <w:p>
      <w:pPr>
        <w:bidi w:val="0"/>
        <w:rPr>
          <w:rFonts w:hint="eastAsia" w:ascii="黑体" w:hAnsi="黑体" w:eastAsia="黑体" w:cs="黑体"/>
          <w:color w:val="auto"/>
          <w:highlight w:val="none"/>
          <w:lang w:val="zh-CN"/>
        </w:rPr>
      </w:pPr>
      <w:bookmarkStart w:id="1" w:name="_Toc8311"/>
      <w:bookmarkStart w:id="2" w:name="_Toc30350"/>
      <w:bookmarkStart w:id="3" w:name="_Toc19500"/>
    </w:p>
    <w:p>
      <w:pPr>
        <w:pStyle w:val="18"/>
        <w:rPr>
          <w:rFonts w:hint="eastAsia" w:ascii="黑体" w:hAnsi="黑体" w:eastAsia="黑体" w:cs="黑体"/>
          <w:color w:val="auto"/>
          <w:highlight w:val="none"/>
          <w:lang w:val="zh-CN"/>
        </w:rPr>
      </w:pPr>
    </w:p>
    <w:p>
      <w:pPr>
        <w:rPr>
          <w:rFonts w:hint="eastAsia" w:ascii="黑体" w:hAnsi="黑体" w:eastAsia="黑体" w:cs="黑体"/>
          <w:color w:val="auto"/>
          <w:highlight w:val="none"/>
          <w:lang w:val="zh-CN"/>
        </w:rPr>
      </w:pPr>
    </w:p>
    <w:p>
      <w:pPr>
        <w:pStyle w:val="18"/>
        <w:rPr>
          <w:rFonts w:hint="eastAsia" w:ascii="黑体" w:hAnsi="黑体" w:eastAsia="黑体" w:cs="黑体"/>
          <w:color w:val="auto"/>
          <w:highlight w:val="none"/>
          <w:lang w:val="zh-CN"/>
        </w:rPr>
      </w:pPr>
    </w:p>
    <w:p>
      <w:pPr>
        <w:rPr>
          <w:rFonts w:hint="eastAsia" w:ascii="黑体" w:hAnsi="黑体" w:eastAsia="黑体" w:cs="黑体"/>
          <w:color w:val="auto"/>
          <w:highlight w:val="none"/>
          <w:lang w:val="zh-CN"/>
        </w:rPr>
      </w:pPr>
    </w:p>
    <w:p>
      <w:pPr>
        <w:rPr>
          <w:rFonts w:hint="eastAsia" w:ascii="黑体" w:hAnsi="黑体" w:eastAsia="黑体" w:cs="黑体"/>
          <w:color w:val="auto"/>
          <w:highlight w:val="none"/>
          <w:lang w:val="zh-CN"/>
        </w:rPr>
      </w:pPr>
    </w:p>
    <w:bookmarkEnd w:id="1"/>
    <w:bookmarkEnd w:id="2"/>
    <w:bookmarkEnd w:id="3"/>
    <w:p>
      <w:pPr>
        <w:keepNext w:val="0"/>
        <w:keepLines w:val="0"/>
        <w:widowControl/>
        <w:suppressLineNumbers w:val="0"/>
        <w:jc w:val="center"/>
        <w:rPr>
          <w:rFonts w:hint="eastAsia" w:ascii="黑体" w:hAnsi="黑体" w:eastAsia="黑体" w:cs="黑体"/>
          <w:b w:val="0"/>
          <w:bCs/>
          <w:color w:val="auto"/>
          <w:sz w:val="96"/>
          <w:szCs w:val="96"/>
          <w:highlight w:val="none"/>
        </w:rPr>
      </w:pPr>
      <w:r>
        <w:rPr>
          <w:rFonts w:hint="eastAsia" w:ascii="黑体" w:hAnsi="黑体" w:eastAsia="黑体" w:cs="黑体"/>
          <w:b w:val="0"/>
          <w:bCs/>
          <w:color w:val="auto"/>
          <w:kern w:val="0"/>
          <w:sz w:val="96"/>
          <w:szCs w:val="96"/>
          <w:highlight w:val="none"/>
          <w:lang w:val="en-US" w:eastAsia="zh-CN" w:bidi="ar"/>
        </w:rPr>
        <w:t>比选文件</w:t>
      </w:r>
    </w:p>
    <w:p>
      <w:pPr>
        <w:autoSpaceDE w:val="0"/>
        <w:autoSpaceDN w:val="0"/>
        <w:adjustRightInd w:val="0"/>
        <w:jc w:val="center"/>
        <w:outlineLvl w:val="9"/>
        <w:rPr>
          <w:rFonts w:hint="eastAsia" w:ascii="黑体" w:hAnsi="黑体" w:eastAsia="黑体" w:cs="黑体"/>
          <w:b w:val="0"/>
          <w:bCs/>
          <w:color w:val="auto"/>
          <w:sz w:val="40"/>
          <w:szCs w:val="40"/>
          <w:highlight w:val="none"/>
        </w:rPr>
      </w:pPr>
    </w:p>
    <w:p>
      <w:pPr>
        <w:pStyle w:val="18"/>
        <w:rPr>
          <w:rFonts w:hint="eastAsia" w:ascii="黑体" w:hAnsi="黑体" w:eastAsia="黑体" w:cs="黑体"/>
          <w:color w:val="auto"/>
          <w:highlight w:val="none"/>
        </w:rPr>
      </w:pPr>
    </w:p>
    <w:p>
      <w:pPr>
        <w:autoSpaceDE w:val="0"/>
        <w:autoSpaceDN w:val="0"/>
        <w:adjustRightInd w:val="0"/>
        <w:jc w:val="center"/>
        <w:outlineLvl w:val="0"/>
        <w:rPr>
          <w:rFonts w:hint="eastAsia" w:ascii="黑体" w:hAnsi="黑体" w:eastAsia="黑体" w:cs="黑体"/>
          <w:b w:val="0"/>
          <w:bCs/>
          <w:color w:val="auto"/>
          <w:sz w:val="40"/>
          <w:szCs w:val="40"/>
          <w:highlight w:val="none"/>
          <w:lang w:val="en-US" w:eastAsia="zh-CN"/>
        </w:rPr>
      </w:pPr>
      <w:bookmarkStart w:id="4" w:name="_Toc10155"/>
      <w:r>
        <w:rPr>
          <w:rFonts w:hint="eastAsia" w:ascii="黑体" w:hAnsi="黑体" w:eastAsia="黑体" w:cs="黑体"/>
          <w:b w:val="0"/>
          <w:bCs/>
          <w:color w:val="auto"/>
          <w:sz w:val="32"/>
          <w:szCs w:val="32"/>
          <w:highlight w:val="none"/>
        </w:rPr>
        <w:t>项目编号</w:t>
      </w:r>
      <w:r>
        <w:rPr>
          <w:rFonts w:hint="eastAsia" w:ascii="黑体" w:hAnsi="黑体" w:eastAsia="黑体" w:cs="黑体"/>
          <w:b w:val="0"/>
          <w:bCs/>
          <w:color w:val="auto"/>
          <w:sz w:val="32"/>
          <w:szCs w:val="32"/>
          <w:highlight w:val="none"/>
          <w:lang w:eastAsia="zh-CN"/>
        </w:rPr>
        <w:t>：</w:t>
      </w:r>
      <w:bookmarkEnd w:id="4"/>
      <w:r>
        <w:rPr>
          <w:rFonts w:hint="eastAsia" w:ascii="黑体" w:hAnsi="黑体" w:eastAsia="黑体" w:cs="黑体"/>
          <w:b w:val="0"/>
          <w:bCs/>
          <w:color w:val="auto"/>
          <w:sz w:val="32"/>
          <w:szCs w:val="32"/>
          <w:highlight w:val="none"/>
          <w:lang w:eastAsia="zh-CN"/>
        </w:rPr>
        <w:t>ATZB2024-014</w:t>
      </w:r>
    </w:p>
    <w:p>
      <w:pPr>
        <w:autoSpaceDE w:val="0"/>
        <w:autoSpaceDN w:val="0"/>
        <w:adjustRightInd w:val="0"/>
        <w:rPr>
          <w:rFonts w:hint="eastAsia" w:ascii="黑体" w:hAnsi="黑体" w:eastAsia="黑体" w:cs="黑体"/>
          <w:b w:val="0"/>
          <w:bCs/>
          <w:color w:val="auto"/>
          <w:sz w:val="28"/>
          <w:szCs w:val="28"/>
          <w:highlight w:val="none"/>
          <w:lang w:val="zh-CN"/>
        </w:rPr>
      </w:pPr>
    </w:p>
    <w:p>
      <w:pPr>
        <w:autoSpaceDE w:val="0"/>
        <w:autoSpaceDN w:val="0"/>
        <w:adjustRightInd w:val="0"/>
        <w:ind w:left="0" w:leftChars="0" w:right="0" w:rightChars="0" w:firstLine="0" w:firstLineChars="0"/>
        <w:jc w:val="center"/>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5"/>
                    <a:stretch>
                      <a:fillRect/>
                    </a:stretch>
                  </pic:blipFill>
                  <pic:spPr>
                    <a:xfrm>
                      <a:off x="0" y="0"/>
                      <a:ext cx="1923415" cy="1607820"/>
                    </a:xfrm>
                    <a:prstGeom prst="rect">
                      <a:avLst/>
                    </a:prstGeom>
                    <a:noFill/>
                    <a:ln>
                      <a:noFill/>
                    </a:ln>
                  </pic:spPr>
                </pic:pic>
              </a:graphicData>
            </a:graphic>
          </wp:inline>
        </w:drawing>
      </w:r>
    </w:p>
    <w:p>
      <w:pPr>
        <w:autoSpaceDE w:val="0"/>
        <w:autoSpaceDN w:val="0"/>
        <w:adjustRightInd w:val="0"/>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 xml:space="preserve">                                                                                                                     </w:t>
      </w:r>
    </w:p>
    <w:p>
      <w:pPr>
        <w:autoSpaceDE w:val="0"/>
        <w:autoSpaceDN w:val="0"/>
        <w:adjustRightInd w:val="0"/>
        <w:spacing w:line="360" w:lineRule="auto"/>
        <w:jc w:val="left"/>
        <w:rPr>
          <w:rFonts w:hint="eastAsia" w:ascii="黑体" w:hAnsi="黑体" w:eastAsia="黑体" w:cs="黑体"/>
          <w:b w:val="0"/>
          <w:bCs/>
          <w:color w:val="auto"/>
          <w:sz w:val="28"/>
          <w:szCs w:val="36"/>
          <w:highlight w:val="none"/>
        </w:rPr>
      </w:pPr>
      <w:r>
        <w:rPr>
          <w:rFonts w:hint="eastAsia" w:ascii="黑体" w:hAnsi="黑体" w:eastAsia="黑体" w:cs="黑体"/>
          <w:b w:val="0"/>
          <w:bCs/>
          <w:color w:val="auto"/>
          <w:sz w:val="28"/>
          <w:szCs w:val="28"/>
          <w:highlight w:val="none"/>
          <w:lang w:val="zh-CN"/>
        </w:rPr>
        <w:t xml:space="preserve">      </w:t>
      </w:r>
      <w:r>
        <w:rPr>
          <w:rFonts w:hint="eastAsia" w:ascii="黑体" w:hAnsi="黑体" w:eastAsia="黑体" w:cs="黑体"/>
          <w:b w:val="0"/>
          <w:bCs/>
          <w:color w:val="auto"/>
          <w:sz w:val="28"/>
          <w:szCs w:val="28"/>
          <w:highlight w:val="none"/>
          <w:lang w:val="en-US" w:eastAsia="zh-CN"/>
        </w:rPr>
        <w:t xml:space="preserve">          </w:t>
      </w:r>
      <w:bookmarkStart w:id="5" w:name="_Toc28511"/>
    </w:p>
    <w:p>
      <w:pPr>
        <w:spacing w:line="360" w:lineRule="auto"/>
        <w:ind w:left="0" w:leftChars="0" w:right="0" w:rightChars="0" w:firstLine="1400" w:firstLineChars="500"/>
        <w:jc w:val="both"/>
        <w:outlineLvl w:val="0"/>
        <w:rPr>
          <w:rFonts w:hint="eastAsia" w:ascii="黑体" w:hAnsi="黑体" w:eastAsia="黑体" w:cs="黑体"/>
          <w:b w:val="0"/>
          <w:bCs/>
          <w:color w:val="auto"/>
          <w:sz w:val="28"/>
          <w:szCs w:val="36"/>
          <w:highlight w:val="none"/>
          <w:u w:val="single"/>
        </w:rPr>
      </w:pPr>
      <w:bookmarkStart w:id="6" w:name="_Toc28254"/>
      <w:r>
        <w:rPr>
          <w:rFonts w:hint="eastAsia" w:ascii="黑体" w:hAnsi="黑体" w:eastAsia="黑体" w:cs="黑体"/>
          <w:b w:val="0"/>
          <w:bCs/>
          <w:snapToGrid w:val="0"/>
          <w:color w:val="auto"/>
          <w:kern w:val="12"/>
          <w:sz w:val="28"/>
          <w:szCs w:val="36"/>
          <w:highlight w:val="none"/>
          <w:lang w:val="en-US" w:eastAsia="zh-CN"/>
        </w:rPr>
        <w:t>比   选   人</w:t>
      </w:r>
      <w:r>
        <w:rPr>
          <w:rFonts w:hint="eastAsia" w:ascii="黑体" w:hAnsi="黑体" w:eastAsia="黑体" w:cs="黑体"/>
          <w:b w:val="0"/>
          <w:bCs/>
          <w:color w:val="auto"/>
          <w:sz w:val="28"/>
          <w:szCs w:val="36"/>
          <w:highlight w:val="none"/>
        </w:rPr>
        <w:t>：</w:t>
      </w:r>
      <w:r>
        <w:rPr>
          <w:rFonts w:hint="eastAsia" w:ascii="黑体" w:hAnsi="黑体" w:eastAsia="黑体" w:cs="黑体"/>
          <w:b w:val="0"/>
          <w:bCs/>
          <w:color w:val="auto"/>
          <w:sz w:val="28"/>
          <w:szCs w:val="36"/>
          <w:highlight w:val="none"/>
          <w:u w:val="single"/>
          <w:lang w:eastAsia="zh-CN"/>
        </w:rPr>
        <w:t>安徽惠群城市物业有限公司</w:t>
      </w:r>
      <w:r>
        <w:rPr>
          <w:rFonts w:hint="eastAsia" w:ascii="黑体" w:hAnsi="黑体" w:eastAsia="黑体" w:cs="黑体"/>
          <w:b w:val="0"/>
          <w:bCs/>
          <w:color w:val="auto"/>
          <w:sz w:val="28"/>
          <w:szCs w:val="36"/>
          <w:highlight w:val="none"/>
        </w:rPr>
        <w:t>（盖章）</w:t>
      </w:r>
      <w:bookmarkEnd w:id="5"/>
      <w:bookmarkEnd w:id="6"/>
    </w:p>
    <w:p>
      <w:pPr>
        <w:bidi w:val="0"/>
        <w:rPr>
          <w:rFonts w:hint="eastAsia"/>
          <w:color w:val="auto"/>
          <w:highlight w:val="none"/>
        </w:rPr>
      </w:pPr>
    </w:p>
    <w:p>
      <w:pPr>
        <w:spacing w:line="360" w:lineRule="auto"/>
        <w:ind w:right="0" w:rightChars="0" w:firstLine="1400" w:firstLineChars="500"/>
        <w:jc w:val="both"/>
        <w:outlineLvl w:val="0"/>
        <w:rPr>
          <w:rFonts w:hint="eastAsia" w:ascii="黑体" w:hAnsi="黑体" w:eastAsia="黑体" w:cs="黑体"/>
          <w:b w:val="0"/>
          <w:bCs/>
          <w:color w:val="auto"/>
          <w:sz w:val="28"/>
          <w:szCs w:val="36"/>
          <w:highlight w:val="none"/>
          <w:u w:val="single"/>
        </w:rPr>
      </w:pPr>
      <w:bookmarkStart w:id="7" w:name="_Toc11057"/>
      <w:r>
        <w:rPr>
          <w:rFonts w:hint="eastAsia" w:ascii="黑体" w:hAnsi="黑体" w:eastAsia="黑体" w:cs="黑体"/>
          <w:b w:val="0"/>
          <w:bCs/>
          <w:color w:val="auto"/>
          <w:sz w:val="28"/>
          <w:szCs w:val="36"/>
          <w:highlight w:val="none"/>
        </w:rPr>
        <w:t>招标代理机构：</w:t>
      </w:r>
      <w:r>
        <w:rPr>
          <w:rFonts w:hint="eastAsia" w:ascii="黑体" w:hAnsi="黑体" w:eastAsia="黑体" w:cs="黑体"/>
          <w:b w:val="0"/>
          <w:bCs/>
          <w:color w:val="auto"/>
          <w:sz w:val="28"/>
          <w:szCs w:val="36"/>
          <w:highlight w:val="none"/>
          <w:u w:val="single"/>
          <w:lang w:val="en-US" w:eastAsia="zh-CN"/>
        </w:rPr>
        <w:t>淮南市安泰工程咨询有限公司</w:t>
      </w:r>
      <w:r>
        <w:rPr>
          <w:rFonts w:hint="eastAsia" w:ascii="黑体" w:hAnsi="黑体" w:eastAsia="黑体" w:cs="黑体"/>
          <w:b w:val="0"/>
          <w:bCs/>
          <w:color w:val="auto"/>
          <w:sz w:val="28"/>
          <w:szCs w:val="36"/>
          <w:highlight w:val="none"/>
        </w:rPr>
        <w:t>（盖章）</w:t>
      </w:r>
      <w:bookmarkEnd w:id="7"/>
    </w:p>
    <w:p>
      <w:pPr>
        <w:spacing w:line="360" w:lineRule="auto"/>
        <w:ind w:left="0" w:leftChars="0" w:right="0" w:rightChars="0" w:firstLine="0" w:firstLineChars="0"/>
        <w:jc w:val="center"/>
        <w:rPr>
          <w:rFonts w:hint="eastAsia" w:ascii="黑体" w:hAnsi="黑体" w:eastAsia="黑体" w:cs="黑体"/>
          <w:b w:val="0"/>
          <w:bCs/>
          <w:color w:val="auto"/>
          <w:sz w:val="32"/>
          <w:szCs w:val="40"/>
          <w:highlight w:val="none"/>
        </w:rPr>
      </w:pPr>
    </w:p>
    <w:p>
      <w:pPr>
        <w:jc w:val="center"/>
        <w:rPr>
          <w:rFonts w:hint="eastAsia" w:ascii="黑体" w:hAnsi="黑体" w:eastAsia="黑体" w:cs="黑体"/>
          <w:b w:val="0"/>
          <w:bCs/>
          <w:color w:val="auto"/>
          <w:sz w:val="28"/>
          <w:szCs w:val="28"/>
          <w:highlight w:val="none"/>
        </w:rPr>
        <w:sectPr>
          <w:pgSz w:w="11906" w:h="16838"/>
          <w:pgMar w:top="1440" w:right="1080" w:bottom="1440" w:left="1080" w:header="851" w:footer="992" w:gutter="0"/>
          <w:cols w:space="425" w:num="1"/>
          <w:docGrid w:type="lines" w:linePitch="312" w:charSpace="0"/>
        </w:sectPr>
      </w:pPr>
      <w:r>
        <w:rPr>
          <w:rFonts w:hint="eastAsia" w:ascii="黑体" w:hAnsi="黑体" w:eastAsia="黑体" w:cs="黑体"/>
          <w:b w:val="0"/>
          <w:bCs/>
          <w:color w:val="auto"/>
          <w:sz w:val="28"/>
          <w:szCs w:val="28"/>
          <w:highlight w:val="none"/>
        </w:rPr>
        <w:t>日  期：二</w:t>
      </w:r>
      <w:r>
        <w:rPr>
          <w:rFonts w:hint="eastAsia" w:ascii="黑体" w:hAnsi="黑体" w:eastAsia="黑体" w:cs="黑体"/>
          <w:b w:val="0"/>
          <w:bCs/>
          <w:color w:val="auto"/>
          <w:sz w:val="28"/>
          <w:szCs w:val="28"/>
          <w:highlight w:val="none"/>
          <w:lang w:eastAsia="zh-CN"/>
        </w:rPr>
        <w:t>〇</w:t>
      </w:r>
      <w:r>
        <w:rPr>
          <w:rFonts w:hint="eastAsia" w:ascii="黑体" w:hAnsi="黑体" w:eastAsia="黑体" w:cs="黑体"/>
          <w:b w:val="0"/>
          <w:bCs/>
          <w:color w:val="auto"/>
          <w:sz w:val="28"/>
          <w:szCs w:val="28"/>
          <w:highlight w:val="none"/>
        </w:rPr>
        <w:t>二</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年</w:t>
      </w:r>
      <w:r>
        <w:rPr>
          <w:rFonts w:hint="eastAsia" w:ascii="黑体" w:hAnsi="黑体" w:eastAsia="黑体" w:cs="黑体"/>
          <w:b w:val="0"/>
          <w:bCs/>
          <w:color w:val="auto"/>
          <w:sz w:val="28"/>
          <w:szCs w:val="28"/>
          <w:highlight w:val="none"/>
          <w:lang w:val="en-US" w:eastAsia="zh-CN"/>
        </w:rPr>
        <w:t>二</w:t>
      </w:r>
      <w:r>
        <w:rPr>
          <w:rFonts w:hint="eastAsia" w:ascii="黑体" w:hAnsi="黑体" w:eastAsia="黑体" w:cs="黑体"/>
          <w:b w:val="0"/>
          <w:bCs/>
          <w:color w:val="auto"/>
          <w:sz w:val="28"/>
          <w:szCs w:val="28"/>
          <w:highlight w:val="none"/>
        </w:rPr>
        <w:t>月</w:t>
      </w:r>
    </w:p>
    <w:sdt>
      <w:sdtPr>
        <w:rPr>
          <w:rFonts w:ascii="宋体" w:hAnsi="宋体" w:eastAsia="宋体" w:cs="Calibri"/>
          <w:color w:val="auto"/>
          <w:kern w:val="2"/>
          <w:sz w:val="24"/>
          <w:szCs w:val="24"/>
          <w:highlight w:val="none"/>
          <w:lang w:val="en-US" w:eastAsia="zh-CN" w:bidi="ar-SA"/>
        </w:rPr>
        <w:id w:val="147469444"/>
        <w15:color w:val="DBDBDB"/>
        <w:docPartObj>
          <w:docPartGallery w:val="Table of Contents"/>
          <w:docPartUnique/>
        </w:docPartObj>
      </w:sdtPr>
      <w:sdtEndPr>
        <w:rPr>
          <w:rFonts w:hint="eastAsia" w:ascii="宋体" w:hAnsi="宋体" w:eastAsia="宋体" w:cs="宋体"/>
          <w:color w:val="auto"/>
          <w:spacing w:val="15"/>
          <w:kern w:val="2"/>
          <w:sz w:val="44"/>
          <w:szCs w:val="44"/>
          <w:highlight w:val="none"/>
          <w:lang w:val="en-US" w:eastAsia="zh-CN" w:bidi="ar-SA"/>
        </w:rPr>
      </w:sdtEndPr>
      <w:sdtContent>
        <w:p>
          <w:pPr>
            <w:spacing w:before="0" w:beforeLines="0" w:after="0" w:afterLines="0" w:line="480" w:lineRule="auto"/>
            <w:ind w:left="0" w:leftChars="0" w:right="0" w:rightChars="0" w:firstLine="0" w:firstLineChars="0"/>
            <w:jc w:val="center"/>
            <w:rPr>
              <w:color w:val="auto"/>
              <w:sz w:val="22"/>
              <w:szCs w:val="22"/>
              <w:highlight w:val="none"/>
            </w:rPr>
          </w:pPr>
          <w:bookmarkStart w:id="8" w:name="_Toc24905"/>
          <w:r>
            <w:rPr>
              <w:rFonts w:ascii="宋体" w:hAnsi="宋体" w:eastAsia="宋体"/>
              <w:color w:val="auto"/>
              <w:sz w:val="24"/>
              <w:szCs w:val="24"/>
              <w:highlight w:val="none"/>
            </w:rPr>
            <w:t>目录</w:t>
          </w:r>
          <w:r>
            <w:rPr>
              <w:rFonts w:hint="eastAsia" w:ascii="宋体" w:hAnsi="宋体" w:eastAsia="宋体" w:cs="宋体"/>
              <w:b/>
              <w:color w:val="auto"/>
              <w:spacing w:val="15"/>
              <w:sz w:val="44"/>
              <w:szCs w:val="22"/>
              <w:highlight w:val="none"/>
            </w:rPr>
            <w:fldChar w:fldCharType="begin"/>
          </w:r>
          <w:r>
            <w:rPr>
              <w:rFonts w:hint="eastAsia" w:ascii="宋体" w:hAnsi="宋体" w:eastAsia="宋体" w:cs="宋体"/>
              <w:b/>
              <w:color w:val="auto"/>
              <w:spacing w:val="15"/>
              <w:sz w:val="44"/>
              <w:szCs w:val="22"/>
              <w:highlight w:val="none"/>
            </w:rPr>
            <w:instrText xml:space="preserve">TOC \o "1-1" \h \u </w:instrText>
          </w:r>
          <w:r>
            <w:rPr>
              <w:rFonts w:hint="eastAsia" w:ascii="宋体" w:hAnsi="宋体" w:eastAsia="宋体" w:cs="宋体"/>
              <w:b/>
              <w:color w:val="auto"/>
              <w:spacing w:val="15"/>
              <w:sz w:val="44"/>
              <w:szCs w:val="22"/>
              <w:highlight w:val="none"/>
            </w:rPr>
            <w:fldChar w:fldCharType="separate"/>
          </w:r>
        </w:p>
        <w:p>
          <w:pPr>
            <w:pStyle w:val="25"/>
            <w:tabs>
              <w:tab w:val="right" w:leader="dot" w:pos="9746"/>
            </w:tabs>
            <w:spacing w:line="48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_Toc3748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color w:val="auto"/>
              <w:spacing w:val="15"/>
              <w:sz w:val="22"/>
              <w:szCs w:val="22"/>
              <w:highlight w:val="none"/>
            </w:rPr>
            <w:t xml:space="preserve">第一章 </w:t>
          </w:r>
          <w:r>
            <w:rPr>
              <w:rFonts w:hint="eastAsia" w:ascii="宋体" w:hAnsi="宋体" w:eastAsia="宋体" w:cs="宋体"/>
              <w:color w:val="auto"/>
              <w:spacing w:val="15"/>
              <w:sz w:val="22"/>
              <w:szCs w:val="22"/>
              <w:highlight w:val="none"/>
              <w:lang w:val="en-US" w:eastAsia="zh-CN"/>
            </w:rPr>
            <w:t>比选</w:t>
          </w:r>
          <w:r>
            <w:rPr>
              <w:rFonts w:hint="eastAsia" w:ascii="宋体" w:hAnsi="宋体" w:eastAsia="宋体" w:cs="宋体"/>
              <w:color w:val="auto"/>
              <w:spacing w:val="15"/>
              <w:sz w:val="22"/>
              <w:szCs w:val="22"/>
              <w:highlight w:val="none"/>
            </w:rPr>
            <w:t>公告</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_Toc3748 \h </w:instrText>
          </w:r>
          <w:r>
            <w:rPr>
              <w:color w:val="auto"/>
              <w:sz w:val="22"/>
              <w:szCs w:val="22"/>
              <w:highlight w:val="none"/>
            </w:rPr>
            <w:fldChar w:fldCharType="separate"/>
          </w:r>
          <w:r>
            <w:rPr>
              <w:color w:val="auto"/>
              <w:sz w:val="22"/>
              <w:szCs w:val="22"/>
              <w:highlight w:val="none"/>
            </w:rPr>
            <w:t>1</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5"/>
            <w:tabs>
              <w:tab w:val="right" w:leader="dot" w:pos="9746"/>
            </w:tabs>
            <w:spacing w:line="48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_Toc22720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bCs w:val="0"/>
              <w:color w:val="auto"/>
              <w:sz w:val="22"/>
              <w:szCs w:val="40"/>
              <w:highlight w:val="none"/>
            </w:rPr>
            <w:t xml:space="preserve">第二章 </w:t>
          </w:r>
          <w:r>
            <w:rPr>
              <w:rFonts w:hint="eastAsia" w:ascii="宋体" w:hAnsi="宋体" w:eastAsia="宋体" w:cs="宋体"/>
              <w:bCs w:val="0"/>
              <w:color w:val="auto"/>
              <w:sz w:val="22"/>
              <w:szCs w:val="40"/>
              <w:highlight w:val="none"/>
              <w:lang w:val="en-US" w:eastAsia="zh-CN"/>
            </w:rPr>
            <w:t>竞选</w:t>
          </w:r>
          <w:r>
            <w:rPr>
              <w:rFonts w:hint="eastAsia" w:ascii="宋体" w:hAnsi="宋体" w:eastAsia="宋体" w:cs="宋体"/>
              <w:bCs w:val="0"/>
              <w:color w:val="auto"/>
              <w:sz w:val="22"/>
              <w:szCs w:val="40"/>
              <w:highlight w:val="none"/>
            </w:rPr>
            <w:t>须知前附表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_Toc22720 \h </w:instrText>
          </w:r>
          <w:r>
            <w:rPr>
              <w:color w:val="auto"/>
              <w:sz w:val="22"/>
              <w:szCs w:val="22"/>
              <w:highlight w:val="none"/>
            </w:rPr>
            <w:fldChar w:fldCharType="separate"/>
          </w:r>
          <w:r>
            <w:rPr>
              <w:color w:val="auto"/>
              <w:sz w:val="22"/>
              <w:szCs w:val="22"/>
              <w:highlight w:val="none"/>
            </w:rPr>
            <w:t>4</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5"/>
            <w:tabs>
              <w:tab w:val="right" w:leader="dot" w:pos="9746"/>
            </w:tabs>
            <w:spacing w:line="48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_Toc8215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bCs/>
              <w:color w:val="auto"/>
              <w:sz w:val="22"/>
              <w:szCs w:val="32"/>
              <w:highlight w:val="none"/>
            </w:rPr>
            <w:t>电梯配件最高限价表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_Toc8215 \h </w:instrText>
          </w:r>
          <w:r>
            <w:rPr>
              <w:color w:val="auto"/>
              <w:sz w:val="22"/>
              <w:szCs w:val="22"/>
              <w:highlight w:val="none"/>
            </w:rPr>
            <w:fldChar w:fldCharType="separate"/>
          </w:r>
          <w:r>
            <w:rPr>
              <w:color w:val="auto"/>
              <w:sz w:val="22"/>
              <w:szCs w:val="22"/>
              <w:highlight w:val="none"/>
            </w:rPr>
            <w:t>9</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5"/>
            <w:tabs>
              <w:tab w:val="right" w:leader="dot" w:pos="9746"/>
            </w:tabs>
            <w:spacing w:line="48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_Toc3339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bCs/>
              <w:color w:val="auto"/>
              <w:sz w:val="22"/>
              <w:szCs w:val="44"/>
              <w:highlight w:val="none"/>
              <w:lang w:val="en-US" w:eastAsia="zh-CN"/>
            </w:rPr>
            <w:t xml:space="preserve">第四章 </w:t>
          </w:r>
          <w:r>
            <w:rPr>
              <w:rFonts w:hint="eastAsia" w:ascii="宋体" w:hAnsi="宋体" w:eastAsia="宋体" w:cs="宋体"/>
              <w:bCs/>
              <w:color w:val="auto"/>
              <w:sz w:val="22"/>
              <w:szCs w:val="44"/>
              <w:highlight w:val="none"/>
            </w:rPr>
            <w:t>评</w:t>
          </w:r>
          <w:r>
            <w:rPr>
              <w:rFonts w:hint="eastAsia" w:ascii="宋体" w:hAnsi="宋体" w:eastAsia="宋体" w:cs="宋体"/>
              <w:bCs/>
              <w:color w:val="auto"/>
              <w:sz w:val="22"/>
              <w:szCs w:val="44"/>
              <w:highlight w:val="none"/>
              <w:lang w:eastAsia="zh-CN"/>
            </w:rPr>
            <w:t>选</w:t>
          </w:r>
          <w:r>
            <w:rPr>
              <w:rFonts w:hint="eastAsia" w:ascii="宋体" w:hAnsi="宋体" w:eastAsia="宋体" w:cs="宋体"/>
              <w:bCs/>
              <w:color w:val="auto"/>
              <w:sz w:val="22"/>
              <w:szCs w:val="44"/>
              <w:highlight w:val="none"/>
            </w:rPr>
            <w:t>办法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_Toc3339 \h </w:instrText>
          </w:r>
          <w:r>
            <w:rPr>
              <w:color w:val="auto"/>
              <w:sz w:val="22"/>
              <w:szCs w:val="22"/>
              <w:highlight w:val="none"/>
            </w:rPr>
            <w:fldChar w:fldCharType="separate"/>
          </w:r>
          <w:r>
            <w:rPr>
              <w:color w:val="auto"/>
              <w:sz w:val="22"/>
              <w:szCs w:val="22"/>
              <w:highlight w:val="none"/>
            </w:rPr>
            <w:t>21</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5"/>
            <w:tabs>
              <w:tab w:val="right" w:leader="dot" w:pos="9746"/>
            </w:tabs>
            <w:spacing w:line="48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_Toc29239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bCs/>
              <w:color w:val="auto"/>
              <w:sz w:val="22"/>
              <w:szCs w:val="44"/>
              <w:highlight w:val="none"/>
              <w:lang w:val="en-US" w:eastAsia="zh-CN"/>
            </w:rPr>
            <w:t xml:space="preserve">第五章 </w:t>
          </w:r>
          <w:r>
            <w:rPr>
              <w:rFonts w:hint="eastAsia" w:ascii="宋体" w:hAnsi="宋体" w:eastAsia="宋体" w:cs="宋体"/>
              <w:bCs/>
              <w:color w:val="auto"/>
              <w:sz w:val="22"/>
              <w:szCs w:val="44"/>
              <w:highlight w:val="none"/>
              <w:lang w:eastAsia="zh-CN"/>
            </w:rPr>
            <w:t>比选</w:t>
          </w:r>
          <w:r>
            <w:rPr>
              <w:rFonts w:hint="eastAsia" w:ascii="宋体" w:hAnsi="宋体" w:eastAsia="宋体" w:cs="宋体"/>
              <w:bCs/>
              <w:color w:val="auto"/>
              <w:sz w:val="22"/>
              <w:szCs w:val="44"/>
              <w:highlight w:val="none"/>
            </w:rPr>
            <w:t>程序及评</w:t>
          </w:r>
          <w:r>
            <w:rPr>
              <w:rFonts w:hint="eastAsia" w:ascii="宋体" w:hAnsi="宋体" w:eastAsia="宋体" w:cs="宋体"/>
              <w:bCs/>
              <w:color w:val="auto"/>
              <w:sz w:val="22"/>
              <w:szCs w:val="44"/>
              <w:highlight w:val="none"/>
              <w:lang w:eastAsia="zh-CN"/>
            </w:rPr>
            <w:t>选</w:t>
          </w:r>
          <w:r>
            <w:rPr>
              <w:rFonts w:hint="eastAsia" w:ascii="宋体" w:hAnsi="宋体" w:eastAsia="宋体" w:cs="宋体"/>
              <w:bCs/>
              <w:color w:val="auto"/>
              <w:sz w:val="22"/>
              <w:szCs w:val="44"/>
              <w:highlight w:val="none"/>
            </w:rPr>
            <w:t>细则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_Toc29239 \h </w:instrText>
          </w:r>
          <w:r>
            <w:rPr>
              <w:color w:val="auto"/>
              <w:sz w:val="22"/>
              <w:szCs w:val="22"/>
              <w:highlight w:val="none"/>
            </w:rPr>
            <w:fldChar w:fldCharType="separate"/>
          </w:r>
          <w:r>
            <w:rPr>
              <w:color w:val="auto"/>
              <w:sz w:val="22"/>
              <w:szCs w:val="22"/>
              <w:highlight w:val="none"/>
            </w:rPr>
            <w:t>22</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5"/>
            <w:tabs>
              <w:tab w:val="right" w:leader="dot" w:pos="9746"/>
            </w:tabs>
            <w:spacing w:line="36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_Toc8142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bCs/>
              <w:color w:val="auto"/>
              <w:sz w:val="22"/>
              <w:szCs w:val="44"/>
              <w:highlight w:val="none"/>
            </w:rPr>
            <w:t>第</w:t>
          </w:r>
          <w:r>
            <w:rPr>
              <w:rFonts w:hint="eastAsia" w:ascii="宋体" w:hAnsi="宋体" w:eastAsia="宋体" w:cs="宋体"/>
              <w:bCs/>
              <w:color w:val="auto"/>
              <w:sz w:val="22"/>
              <w:szCs w:val="44"/>
              <w:highlight w:val="none"/>
              <w:lang w:val="en-US" w:eastAsia="zh-CN"/>
            </w:rPr>
            <w:t>六</w:t>
          </w:r>
          <w:r>
            <w:rPr>
              <w:rFonts w:hint="eastAsia" w:ascii="宋体" w:hAnsi="宋体" w:eastAsia="宋体" w:cs="宋体"/>
              <w:bCs/>
              <w:color w:val="auto"/>
              <w:sz w:val="22"/>
              <w:szCs w:val="44"/>
              <w:highlight w:val="none"/>
            </w:rPr>
            <w:t>章  合同格式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_Toc8142 \h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5"/>
            <w:tabs>
              <w:tab w:val="right" w:leader="dot" w:pos="9746"/>
            </w:tabs>
            <w:spacing w:line="480" w:lineRule="auto"/>
            <w:rPr>
              <w:color w:val="auto"/>
              <w:sz w:val="22"/>
              <w:szCs w:val="22"/>
              <w:highlight w:val="none"/>
            </w:rPr>
          </w:pPr>
          <w:r>
            <w:rPr>
              <w:rFonts w:hint="eastAsia" w:ascii="宋体" w:hAnsi="宋体" w:eastAsia="宋体" w:cs="宋体"/>
              <w:color w:val="auto"/>
              <w:spacing w:val="15"/>
              <w:sz w:val="22"/>
              <w:szCs w:val="22"/>
              <w:highlight w:val="none"/>
            </w:rPr>
            <w:fldChar w:fldCharType="begin"/>
          </w:r>
          <w:r>
            <w:rPr>
              <w:rFonts w:hint="eastAsia" w:ascii="宋体" w:hAnsi="宋体" w:eastAsia="宋体" w:cs="宋体"/>
              <w:color w:val="auto"/>
              <w:spacing w:val="15"/>
              <w:sz w:val="22"/>
              <w:szCs w:val="22"/>
              <w:highlight w:val="none"/>
            </w:rPr>
            <w:instrText xml:space="preserve"> HYPERLINK \l _Toc7204 </w:instrText>
          </w:r>
          <w:r>
            <w:rPr>
              <w:rFonts w:hint="eastAsia" w:ascii="宋体" w:hAnsi="宋体" w:eastAsia="宋体" w:cs="宋体"/>
              <w:color w:val="auto"/>
              <w:spacing w:val="15"/>
              <w:sz w:val="22"/>
              <w:szCs w:val="22"/>
              <w:highlight w:val="none"/>
            </w:rPr>
            <w:fldChar w:fldCharType="separate"/>
          </w:r>
          <w:r>
            <w:rPr>
              <w:rFonts w:hint="eastAsia" w:ascii="宋体" w:hAnsi="宋体" w:eastAsia="宋体" w:cs="宋体"/>
              <w:color w:val="auto"/>
              <w:sz w:val="22"/>
              <w:szCs w:val="40"/>
              <w:highlight w:val="none"/>
            </w:rPr>
            <w:t>第</w:t>
          </w:r>
          <w:r>
            <w:rPr>
              <w:rFonts w:hint="eastAsia" w:ascii="宋体" w:hAnsi="宋体" w:eastAsia="宋体" w:cs="宋体"/>
              <w:color w:val="auto"/>
              <w:sz w:val="22"/>
              <w:szCs w:val="40"/>
              <w:highlight w:val="none"/>
              <w:lang w:val="en-US" w:eastAsia="zh-CN"/>
            </w:rPr>
            <w:t>七</w:t>
          </w:r>
          <w:r>
            <w:rPr>
              <w:rFonts w:hint="eastAsia" w:ascii="宋体" w:hAnsi="宋体" w:eastAsia="宋体" w:cs="宋体"/>
              <w:color w:val="auto"/>
              <w:sz w:val="22"/>
              <w:szCs w:val="40"/>
              <w:highlight w:val="none"/>
            </w:rPr>
            <w:t xml:space="preserve">章 </w:t>
          </w:r>
          <w:r>
            <w:rPr>
              <w:rFonts w:hint="eastAsia" w:ascii="宋体" w:hAnsi="宋体" w:eastAsia="宋体" w:cs="宋体"/>
              <w:color w:val="auto"/>
              <w:sz w:val="22"/>
              <w:szCs w:val="40"/>
              <w:highlight w:val="none"/>
              <w:lang w:eastAsia="zh-CN"/>
            </w:rPr>
            <w:t>竞选文件</w:t>
          </w:r>
          <w:r>
            <w:rPr>
              <w:rFonts w:hint="eastAsia" w:ascii="宋体" w:hAnsi="宋体" w:eastAsia="宋体" w:cs="宋体"/>
              <w:color w:val="auto"/>
              <w:sz w:val="22"/>
              <w:szCs w:val="40"/>
              <w:highlight w:val="none"/>
            </w:rPr>
            <w:t>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_Toc7204 \h </w:instrText>
          </w:r>
          <w:r>
            <w:rPr>
              <w:color w:val="auto"/>
              <w:sz w:val="22"/>
              <w:szCs w:val="22"/>
              <w:highlight w:val="none"/>
            </w:rPr>
            <w:fldChar w:fldCharType="separate"/>
          </w:r>
          <w:r>
            <w:rPr>
              <w:color w:val="auto"/>
              <w:sz w:val="22"/>
              <w:szCs w:val="22"/>
              <w:highlight w:val="none"/>
            </w:rPr>
            <w:t>37</w:t>
          </w:r>
          <w:r>
            <w:rPr>
              <w:color w:val="auto"/>
              <w:sz w:val="22"/>
              <w:szCs w:val="22"/>
              <w:highlight w:val="none"/>
            </w:rPr>
            <w:fldChar w:fldCharType="end"/>
          </w:r>
          <w:r>
            <w:rPr>
              <w:rFonts w:hint="eastAsia" w:ascii="宋体" w:hAnsi="宋体" w:eastAsia="宋体" w:cs="宋体"/>
              <w:color w:val="auto"/>
              <w:spacing w:val="15"/>
              <w:sz w:val="22"/>
              <w:szCs w:val="22"/>
              <w:highlight w:val="none"/>
            </w:rPr>
            <w:fldChar w:fldCharType="end"/>
          </w:r>
        </w:p>
        <w:p>
          <w:pPr>
            <w:pStyle w:val="2"/>
            <w:numPr>
              <w:ilvl w:val="0"/>
              <w:numId w:val="0"/>
            </w:numPr>
            <w:spacing w:line="480" w:lineRule="auto"/>
            <w:jc w:val="center"/>
            <w:outlineLvl w:val="9"/>
            <w:rPr>
              <w:rFonts w:hint="eastAsia" w:ascii="宋体" w:hAnsi="宋体" w:eastAsia="宋体" w:cs="宋体"/>
              <w:b/>
              <w:color w:val="auto"/>
              <w:spacing w:val="15"/>
              <w:sz w:val="36"/>
              <w:highlight w:val="none"/>
            </w:rPr>
          </w:pPr>
          <w:r>
            <w:rPr>
              <w:rFonts w:hint="eastAsia" w:ascii="宋体" w:hAnsi="宋体" w:eastAsia="宋体" w:cs="宋体"/>
              <w:color w:val="auto"/>
              <w:spacing w:val="15"/>
              <w:sz w:val="52"/>
              <w:szCs w:val="52"/>
              <w:highlight w:val="none"/>
            </w:rPr>
            <w:fldChar w:fldCharType="end"/>
          </w:r>
        </w:p>
      </w:sdtContent>
    </w:sdt>
    <w:p>
      <w:pPr>
        <w:pStyle w:val="2"/>
        <w:numPr>
          <w:ilvl w:val="0"/>
          <w:numId w:val="0"/>
        </w:numPr>
        <w:spacing w:line="500" w:lineRule="exact"/>
        <w:jc w:val="center"/>
        <w:outlineLvl w:val="9"/>
        <w:rPr>
          <w:rFonts w:hint="eastAsia" w:ascii="宋体" w:hAnsi="宋体" w:eastAsia="宋体" w:cs="宋体"/>
          <w:b/>
          <w:color w:val="auto"/>
          <w:spacing w:val="15"/>
          <w:sz w:val="36"/>
          <w:highlight w:val="none"/>
        </w:rPr>
      </w:pPr>
    </w:p>
    <w:p>
      <w:pPr>
        <w:pStyle w:val="2"/>
        <w:numPr>
          <w:ilvl w:val="0"/>
          <w:numId w:val="0"/>
        </w:numPr>
        <w:spacing w:line="500" w:lineRule="exact"/>
        <w:jc w:val="center"/>
        <w:outlineLvl w:val="9"/>
        <w:rPr>
          <w:rFonts w:hint="eastAsia" w:ascii="宋体" w:hAnsi="宋体" w:eastAsia="宋体" w:cs="宋体"/>
          <w:b/>
          <w:color w:val="auto"/>
          <w:spacing w:val="15"/>
          <w:sz w:val="36"/>
          <w:highlight w:val="none"/>
        </w:rPr>
      </w:pPr>
    </w:p>
    <w:p>
      <w:pPr>
        <w:pStyle w:val="2"/>
        <w:numPr>
          <w:ilvl w:val="0"/>
          <w:numId w:val="0"/>
        </w:numPr>
        <w:spacing w:line="500" w:lineRule="exact"/>
        <w:jc w:val="center"/>
        <w:outlineLvl w:val="9"/>
        <w:rPr>
          <w:rFonts w:hint="eastAsia" w:ascii="宋体" w:hAnsi="宋体" w:eastAsia="宋体" w:cs="宋体"/>
          <w:b/>
          <w:color w:val="auto"/>
          <w:spacing w:val="15"/>
          <w:sz w:val="36"/>
          <w:highlight w:val="none"/>
        </w:rPr>
      </w:pPr>
    </w:p>
    <w:p>
      <w:pPr>
        <w:pStyle w:val="2"/>
        <w:numPr>
          <w:ilvl w:val="0"/>
          <w:numId w:val="0"/>
        </w:numPr>
        <w:spacing w:line="500" w:lineRule="exact"/>
        <w:jc w:val="center"/>
        <w:outlineLvl w:val="9"/>
        <w:rPr>
          <w:rFonts w:hint="eastAsia" w:ascii="宋体" w:hAnsi="宋体" w:eastAsia="宋体" w:cs="宋体"/>
          <w:b/>
          <w:color w:val="auto"/>
          <w:spacing w:val="15"/>
          <w:sz w:val="36"/>
          <w:highlight w:val="none"/>
        </w:rPr>
      </w:pPr>
    </w:p>
    <w:p>
      <w:pPr>
        <w:pStyle w:val="2"/>
        <w:numPr>
          <w:ilvl w:val="0"/>
          <w:numId w:val="0"/>
        </w:numPr>
        <w:spacing w:line="500" w:lineRule="exact"/>
        <w:jc w:val="center"/>
        <w:outlineLvl w:val="9"/>
        <w:rPr>
          <w:rFonts w:hint="eastAsia" w:ascii="宋体" w:hAnsi="宋体" w:eastAsia="宋体" w:cs="宋体"/>
          <w:b/>
          <w:color w:val="auto"/>
          <w:spacing w:val="15"/>
          <w:sz w:val="36"/>
          <w:highlight w:val="none"/>
        </w:rPr>
      </w:pPr>
    </w:p>
    <w:p>
      <w:pPr>
        <w:pStyle w:val="2"/>
        <w:numPr>
          <w:ilvl w:val="0"/>
          <w:numId w:val="0"/>
        </w:numPr>
        <w:spacing w:line="500" w:lineRule="exact"/>
        <w:jc w:val="center"/>
        <w:outlineLvl w:val="9"/>
        <w:rPr>
          <w:rFonts w:hint="eastAsia" w:ascii="宋体" w:hAnsi="宋体" w:eastAsia="宋体" w:cs="宋体"/>
          <w:b/>
          <w:color w:val="auto"/>
          <w:spacing w:val="15"/>
          <w:sz w:val="36"/>
          <w:highlight w:val="none"/>
        </w:rPr>
        <w:sectPr>
          <w:pgSz w:w="11906" w:h="16838"/>
          <w:pgMar w:top="1440" w:right="1080" w:bottom="1440" w:left="1080" w:header="851" w:footer="992" w:gutter="0"/>
          <w:cols w:space="425" w:num="1"/>
          <w:docGrid w:type="lines" w:linePitch="312" w:charSpace="0"/>
        </w:sectPr>
      </w:pPr>
    </w:p>
    <w:p>
      <w:pPr>
        <w:pStyle w:val="2"/>
        <w:numPr>
          <w:ilvl w:val="0"/>
          <w:numId w:val="0"/>
        </w:numPr>
        <w:spacing w:line="500" w:lineRule="exact"/>
        <w:jc w:val="center"/>
        <w:outlineLvl w:val="0"/>
        <w:rPr>
          <w:rFonts w:hint="eastAsia" w:ascii="宋体" w:hAnsi="宋体" w:eastAsia="宋体" w:cs="宋体"/>
          <w:bCs/>
          <w:color w:val="auto"/>
          <w:sz w:val="36"/>
          <w:szCs w:val="36"/>
          <w:highlight w:val="none"/>
        </w:rPr>
      </w:pPr>
      <w:bookmarkStart w:id="9" w:name="_Toc3748"/>
      <w:r>
        <w:rPr>
          <w:rFonts w:hint="eastAsia" w:ascii="宋体" w:hAnsi="宋体" w:eastAsia="宋体" w:cs="宋体"/>
          <w:b/>
          <w:color w:val="auto"/>
          <w:spacing w:val="15"/>
          <w:sz w:val="36"/>
          <w:highlight w:val="none"/>
        </w:rPr>
        <w:t xml:space="preserve">第一章 </w:t>
      </w:r>
      <w:bookmarkEnd w:id="8"/>
      <w:bookmarkStart w:id="10" w:name="_Toc280276945"/>
      <w:bookmarkStart w:id="11" w:name="_Hlt510342998"/>
      <w:bookmarkStart w:id="12" w:name="_Hlt510343011"/>
      <w:r>
        <w:rPr>
          <w:rFonts w:hint="eastAsia" w:ascii="宋体" w:hAnsi="宋体" w:eastAsia="宋体" w:cs="宋体"/>
          <w:b/>
          <w:color w:val="auto"/>
          <w:spacing w:val="15"/>
          <w:sz w:val="36"/>
          <w:highlight w:val="none"/>
          <w:lang w:val="en-US" w:eastAsia="zh-CN"/>
        </w:rPr>
        <w:t>比选</w:t>
      </w:r>
      <w:r>
        <w:rPr>
          <w:rFonts w:hint="eastAsia" w:ascii="宋体" w:hAnsi="宋体" w:eastAsia="宋体" w:cs="宋体"/>
          <w:b/>
          <w:color w:val="auto"/>
          <w:spacing w:val="15"/>
          <w:sz w:val="36"/>
          <w:highlight w:val="none"/>
        </w:rPr>
        <w:t>公告</w:t>
      </w:r>
      <w:bookmarkEnd w:id="9"/>
    </w:p>
    <w:bookmarkEnd w:id="10"/>
    <w:bookmarkEnd w:id="11"/>
    <w:bookmarkEnd w:id="12"/>
    <w:p>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w:t>
      </w:r>
    </w:p>
    <w:p>
      <w:pPr>
        <w:keepNext w:val="0"/>
        <w:keepLines w:val="0"/>
        <w:pageBreakBefore w:val="0"/>
        <w:kinsoku/>
        <w:wordWrap/>
        <w:overflowPunct/>
        <w:topLinePunct w:val="0"/>
        <w:autoSpaceDE/>
        <w:autoSpaceDN/>
        <w:bidi w:val="0"/>
        <w:adjustRightInd w:val="0"/>
        <w:snapToGrid w:val="0"/>
        <w:spacing w:before="10" w:after="10" w:line="240" w:lineRule="auto"/>
        <w:jc w:val="center"/>
        <w:textAlignment w:val="auto"/>
        <w:outlineLvl w:val="0"/>
        <w:rPr>
          <w:rFonts w:hint="eastAsia" w:ascii="宋体" w:hAnsi="宋体" w:eastAsia="宋体" w:cs="宋体"/>
          <w:color w:val="auto"/>
          <w:sz w:val="44"/>
          <w:szCs w:val="44"/>
          <w:highlight w:val="none"/>
          <w:lang w:val="en-US" w:eastAsia="zh-CN"/>
        </w:rPr>
      </w:pPr>
      <w:bookmarkStart w:id="13" w:name="_Toc28787"/>
      <w:r>
        <w:rPr>
          <w:rFonts w:hint="eastAsia" w:ascii="宋体" w:hAnsi="宋体" w:cs="宋体"/>
          <w:b/>
          <w:bCs/>
          <w:i w:val="0"/>
          <w:iCs w:val="0"/>
          <w:caps w:val="0"/>
          <w:color w:val="auto"/>
          <w:spacing w:val="0"/>
          <w:kern w:val="0"/>
          <w:sz w:val="44"/>
          <w:szCs w:val="44"/>
          <w:highlight w:val="none"/>
          <w:u w:val="none"/>
          <w:shd w:val="clear" w:fill="FFFFFF"/>
          <w:lang w:val="en-US" w:eastAsia="zh-CN" w:bidi="ar"/>
        </w:rPr>
        <w:t>西城嘉园、益民阳光</w:t>
      </w:r>
      <w:r>
        <w:rPr>
          <w:rFonts w:hint="eastAsia" w:ascii="宋体" w:hAnsi="宋体" w:eastAsia="宋体" w:cs="宋体"/>
          <w:b/>
          <w:bCs/>
          <w:i w:val="0"/>
          <w:iCs w:val="0"/>
          <w:caps w:val="0"/>
          <w:color w:val="auto"/>
          <w:spacing w:val="0"/>
          <w:kern w:val="0"/>
          <w:sz w:val="44"/>
          <w:szCs w:val="44"/>
          <w:highlight w:val="none"/>
          <w:u w:val="none"/>
          <w:shd w:val="clear" w:fill="FFFFFF"/>
          <w:lang w:val="en-US" w:eastAsia="zh-CN" w:bidi="ar"/>
        </w:rPr>
        <w:t>电梯维保服务项目</w:t>
      </w:r>
      <w:r>
        <w:rPr>
          <w:rFonts w:hint="eastAsia" w:ascii="宋体" w:hAnsi="宋体" w:cs="宋体"/>
          <w:b/>
          <w:bCs/>
          <w:i w:val="0"/>
          <w:iCs w:val="0"/>
          <w:caps w:val="0"/>
          <w:color w:val="auto"/>
          <w:spacing w:val="0"/>
          <w:kern w:val="0"/>
          <w:sz w:val="44"/>
          <w:szCs w:val="44"/>
          <w:highlight w:val="none"/>
          <w:u w:val="none"/>
          <w:shd w:val="clear" w:fill="FFFFFF"/>
          <w:lang w:val="en-US" w:eastAsia="zh-CN" w:bidi="ar"/>
        </w:rPr>
        <w:t>（一次）比选</w:t>
      </w:r>
      <w:r>
        <w:rPr>
          <w:rFonts w:hint="eastAsia" w:ascii="宋体" w:hAnsi="宋体" w:eastAsia="宋体" w:cs="宋体"/>
          <w:b/>
          <w:bCs/>
          <w:i w:val="0"/>
          <w:iCs w:val="0"/>
          <w:caps w:val="0"/>
          <w:color w:val="auto"/>
          <w:spacing w:val="0"/>
          <w:kern w:val="0"/>
          <w:sz w:val="44"/>
          <w:szCs w:val="44"/>
          <w:highlight w:val="none"/>
          <w:u w:val="none"/>
          <w:shd w:val="clear" w:fill="FFFFFF"/>
          <w:lang w:val="en-US" w:eastAsia="zh-CN" w:bidi="ar"/>
        </w:rPr>
        <w:t>公告</w:t>
      </w:r>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240" w:lineRule="auto"/>
        <w:ind w:left="0" w:right="0" w:firstLine="0"/>
        <w:jc w:val="both"/>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项目概况</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w:t>
      </w:r>
      <w:r>
        <w:rPr>
          <w:rFonts w:hint="eastAsia" w:ascii="仿宋" w:hAnsi="仿宋" w:eastAsia="仿宋" w:cs="仿宋"/>
          <w:color w:val="auto"/>
          <w:sz w:val="28"/>
          <w:szCs w:val="28"/>
          <w:highlight w:val="none"/>
          <w:u w:val="single"/>
          <w:lang w:val="en-US" w:eastAsia="zh-CN"/>
        </w:rPr>
        <w:t>西城嘉园、益民阳光电梯维保服务项目</w:t>
      </w:r>
      <w:r>
        <w:rPr>
          <w:rFonts w:hint="eastAsia" w:ascii="仿宋" w:hAnsi="仿宋" w:eastAsia="仿宋" w:cs="仿宋"/>
          <w:color w:val="auto"/>
          <w:sz w:val="28"/>
          <w:szCs w:val="28"/>
          <w:highlight w:val="none"/>
          <w:lang w:val="en-US" w:eastAsia="zh-CN"/>
        </w:rPr>
        <w:t>的潜在竞选人应在</w:t>
      </w:r>
      <w:r>
        <w:rPr>
          <w:rFonts w:hint="eastAsia" w:ascii="仿宋" w:hAnsi="仿宋" w:eastAsia="仿宋" w:cs="仿宋"/>
          <w:color w:val="auto"/>
          <w:sz w:val="28"/>
          <w:szCs w:val="28"/>
          <w:highlight w:val="none"/>
          <w:u w:val="single"/>
          <w:lang w:val="en-US" w:eastAsia="zh-CN"/>
        </w:rPr>
        <w:t>安徽惠群城市物业有限公司官网（https://www.anhuihuiqun.com/）</w:t>
      </w:r>
      <w:r>
        <w:rPr>
          <w:rFonts w:hint="eastAsia" w:ascii="仿宋" w:hAnsi="仿宋" w:eastAsia="仿宋" w:cs="仿宋"/>
          <w:color w:val="auto"/>
          <w:sz w:val="28"/>
          <w:szCs w:val="28"/>
          <w:highlight w:val="none"/>
          <w:lang w:val="en-US" w:eastAsia="zh-CN"/>
        </w:rPr>
        <w:t>获取比选文件，并于</w:t>
      </w:r>
      <w:r>
        <w:rPr>
          <w:rFonts w:hint="eastAsia" w:ascii="仿宋" w:hAnsi="仿宋" w:eastAsia="仿宋" w:cs="仿宋"/>
          <w:color w:val="auto"/>
          <w:sz w:val="28"/>
          <w:szCs w:val="28"/>
          <w:highlight w:val="none"/>
          <w:u w:val="single"/>
          <w:lang w:val="en-US" w:eastAsia="zh-CN"/>
        </w:rPr>
        <w:t>2024年03月05日15点30分</w:t>
      </w:r>
      <w:r>
        <w:rPr>
          <w:rFonts w:hint="eastAsia" w:ascii="仿宋" w:hAnsi="仿宋" w:eastAsia="仿宋" w:cs="仿宋"/>
          <w:color w:val="auto"/>
          <w:sz w:val="28"/>
          <w:szCs w:val="28"/>
          <w:highlight w:val="none"/>
          <w:lang w:val="en-US" w:eastAsia="zh-CN"/>
        </w:rPr>
        <w:t>（北京时间）前提交竞选文件。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bookmarkStart w:id="14" w:name="_Toc3863"/>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一、项目基本情况：</w:t>
      </w:r>
      <w:bookmarkEnd w:id="14"/>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1、项目名称：西城嘉园、益民阳光电梯维保服务项目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2、项目编号：ATZB2024-014</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3、比选人：安徽惠群城市物业有限公司、淮南市创新物业有限公司</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4、资金来源：自筹资金</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5、最高限价：137400.00元/年(单价最高限价：2290.00元/部/年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bookmarkStart w:id="15" w:name="_Toc23736"/>
      <w:r>
        <w:rPr>
          <w:rFonts w:hint="eastAsia" w:ascii="仿宋" w:hAnsi="仿宋" w:eastAsia="仿宋" w:cs="仿宋"/>
          <w:color w:val="auto"/>
          <w:sz w:val="28"/>
          <w:szCs w:val="28"/>
          <w:highlight w:val="none"/>
          <w:lang w:val="en-US" w:eastAsia="zh-CN"/>
        </w:rPr>
        <w:t>6、采购需求：总计60部电梯的维保服务，具体内容详见第三章采购需求。</w:t>
      </w:r>
    </w:p>
    <w:bookmarkEnd w:id="15"/>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、标段划分：一个标段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、质量要求：合格</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eastAsia="zh-CN"/>
        </w:rPr>
        <w:t>期</w:t>
      </w:r>
      <w:r>
        <w:rPr>
          <w:rFonts w:hint="eastAsia" w:ascii="仿宋" w:hAnsi="仿宋" w:eastAsia="仿宋" w:cs="仿宋"/>
          <w:color w:val="auto"/>
          <w:sz w:val="28"/>
          <w:szCs w:val="28"/>
          <w:highlight w:val="none"/>
          <w:lang w:val="en-US" w:eastAsia="zh-CN"/>
        </w:rPr>
        <w:t>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1年（1+1+1模式）</w:t>
      </w:r>
      <w:r>
        <w:rPr>
          <w:rFonts w:hint="eastAsia" w:ascii="宋体" w:hAnsi="宋体" w:eastAsia="宋体" w:cs="宋体"/>
          <w:color w:val="auto"/>
          <w:highlight w:val="none"/>
          <w:lang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bookmarkStart w:id="16" w:name="_Toc9502"/>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二、</w:t>
      </w:r>
      <w:r>
        <w:rPr>
          <w:rFonts w:hint="eastAsia" w:ascii="宋体" w:hAnsi="宋体" w:cs="宋体"/>
          <w:b/>
          <w:bCs/>
          <w:i w:val="0"/>
          <w:iCs w:val="0"/>
          <w:caps w:val="0"/>
          <w:color w:val="auto"/>
          <w:spacing w:val="0"/>
          <w:kern w:val="0"/>
          <w:sz w:val="28"/>
          <w:szCs w:val="28"/>
          <w:highlight w:val="none"/>
          <w:shd w:val="clear" w:fill="FFFFFF"/>
          <w:lang w:val="en-US" w:eastAsia="zh-CN" w:bidi="ar"/>
        </w:rPr>
        <w:t>竞选人</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的资格要求：</w:t>
      </w:r>
      <w:bookmarkEnd w:id="16"/>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、竞选人</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eastAsia="zh-CN"/>
        </w:rPr>
        <w:t>具有独立法人资格，具有有效的营业执照；</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2、竞选人应具有《中华人民共和国特种设备生产许可证（电梯安装含修理）》B级（或以上）资质。</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竞选人</w:t>
      </w:r>
      <w:r>
        <w:rPr>
          <w:rFonts w:hint="eastAsia" w:ascii="仿宋" w:hAnsi="仿宋" w:eastAsia="仿宋" w:cs="仿宋"/>
          <w:color w:val="auto"/>
          <w:sz w:val="28"/>
          <w:szCs w:val="28"/>
          <w:highlight w:val="none"/>
          <w:lang w:eastAsia="zh-CN"/>
        </w:rPr>
        <w:t>信誉要求：提供以下对应网站的信誉查询截图</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信誉承诺书。</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lang w:val="en-US" w:eastAsia="zh-CN"/>
        </w:rPr>
        <w:t>竞选截止时间</w:t>
      </w:r>
      <w:r>
        <w:rPr>
          <w:rFonts w:hint="eastAsia" w:ascii="仿宋" w:hAnsi="仿宋" w:eastAsia="仿宋" w:cs="仿宋"/>
          <w:color w:val="auto"/>
          <w:sz w:val="28"/>
          <w:szCs w:val="28"/>
          <w:highlight w:val="none"/>
          <w:lang w:eastAsia="zh-CN"/>
        </w:rPr>
        <w:t>前，未被最高人民法院在“中国执行信息公开网”网站（http://zxgk.court.gov.cn）列为失信被执行人（可提供“中国执行信息公开网”－“失信被执行人”查询截图，无失信被执行人惩戒信息）。</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lang w:val="en-US" w:eastAsia="zh-CN"/>
        </w:rPr>
        <w:t>竞选截止时间</w:t>
      </w:r>
      <w:r>
        <w:rPr>
          <w:rFonts w:hint="eastAsia" w:ascii="仿宋" w:hAnsi="仿宋" w:eastAsia="仿宋" w:cs="仿宋"/>
          <w:color w:val="auto"/>
          <w:sz w:val="28"/>
          <w:szCs w:val="28"/>
          <w:highlight w:val="none"/>
          <w:lang w:eastAsia="zh-CN"/>
        </w:rPr>
        <w:t>前，未被国家市场监督管理部门在国家企业信用信息公示系统（www.gsxt.gov.cn）中列入严重违法失信企业名单。（可提供竞选人在国家企业信用信息公示系统网页查询截图，严重违法失信一栏中无不良记录）。</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lang w:val="en-US" w:eastAsia="zh-CN"/>
        </w:rPr>
        <w:t>竞选截止时间</w:t>
      </w:r>
      <w:r>
        <w:rPr>
          <w:rFonts w:hint="eastAsia" w:ascii="仿宋" w:hAnsi="仿宋" w:eastAsia="仿宋" w:cs="仿宋"/>
          <w:color w:val="auto"/>
          <w:sz w:val="28"/>
          <w:szCs w:val="28"/>
          <w:highlight w:val="none"/>
          <w:lang w:eastAsia="zh-CN"/>
        </w:rPr>
        <w:t>前，未被中国政府采购网（www.ccgp.gov.cn）列入“政府采购严重违法失信行为记录名单”（可提供中国政府采购网政府采购严重违法失信行为记录名单企业查询网页截图，或者“中国执行信息公开网（http://zxgk.court.gov.cn/）”－“信用中国”－“政府采购严重违法失信行为记录名单”的网页查询截图）。</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、法定代表人为同一个人的两个及两个以上法人，母公司、全资子公司及其控股公司，不得对本项目同时投标。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三、获取比选文件</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获取时间：自公告发布之日起至竞选截止时间前</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获取地点：网上获取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售价：0元。</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获取方式：安徽惠群城市物业有限公司官网（https://www.anhuihuiqun.com/）领取。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四、</w:t>
      </w:r>
      <w:r>
        <w:rPr>
          <w:rFonts w:hint="eastAsia" w:ascii="宋体" w:hAnsi="宋体" w:cs="宋体"/>
          <w:b/>
          <w:bCs/>
          <w:i w:val="0"/>
          <w:iCs w:val="0"/>
          <w:caps w:val="0"/>
          <w:color w:val="auto"/>
          <w:spacing w:val="0"/>
          <w:kern w:val="0"/>
          <w:sz w:val="28"/>
          <w:szCs w:val="28"/>
          <w:highlight w:val="none"/>
          <w:shd w:val="clear" w:fill="FFFFFF"/>
          <w:lang w:val="en-US" w:eastAsia="zh-CN" w:bidi="ar"/>
        </w:rPr>
        <w:t>竞选</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文件提交</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w:t>
      </w:r>
      <w:r>
        <w:rPr>
          <w:rFonts w:hint="eastAsia" w:ascii="仿宋" w:hAnsi="仿宋" w:eastAsia="仿宋" w:cs="仿宋"/>
          <w:color w:val="auto"/>
          <w:sz w:val="28"/>
          <w:szCs w:val="28"/>
          <w:highlight w:val="none"/>
          <w:u w:val="single"/>
          <w:lang w:val="en-US" w:eastAsia="zh-CN"/>
        </w:rPr>
        <w:t>2024年03月05日15点30分</w:t>
      </w:r>
      <w:r>
        <w:rPr>
          <w:rFonts w:hint="eastAsia" w:ascii="仿宋" w:hAnsi="仿宋" w:eastAsia="仿宋" w:cs="仿宋"/>
          <w:color w:val="auto"/>
          <w:sz w:val="28"/>
          <w:szCs w:val="28"/>
          <w:highlight w:val="none"/>
          <w:lang w:val="en-US" w:eastAsia="zh-CN"/>
        </w:rPr>
        <w:t>（北京时间）</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地点：淮南市安泰工程咨询有限公司二楼开标室（原淮南市房地产管理局市直机关房管所）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仿宋" w:hAnsi="仿宋" w:eastAsia="仿宋" w:cs="仿宋"/>
          <w:b/>
          <w:bCs/>
          <w:i w:val="0"/>
          <w:iCs w:val="0"/>
          <w:caps w:val="0"/>
          <w:color w:val="auto"/>
          <w:spacing w:val="0"/>
          <w:kern w:val="0"/>
          <w:sz w:val="28"/>
          <w:szCs w:val="28"/>
          <w:highlight w:val="none"/>
          <w:shd w:val="clear" w:fill="FFFFFF"/>
          <w:lang w:val="en-US" w:eastAsia="zh-CN" w:bidi="ar"/>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五、开启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w:t>
      </w:r>
      <w:r>
        <w:rPr>
          <w:rFonts w:hint="eastAsia" w:ascii="仿宋" w:hAnsi="仿宋" w:eastAsia="仿宋" w:cs="仿宋"/>
          <w:color w:val="auto"/>
          <w:sz w:val="28"/>
          <w:szCs w:val="28"/>
          <w:highlight w:val="none"/>
          <w:u w:val="single"/>
          <w:lang w:val="en-US" w:eastAsia="zh-CN"/>
        </w:rPr>
        <w:t>2024年03月05日15点30分</w:t>
      </w:r>
      <w:r>
        <w:rPr>
          <w:rFonts w:hint="eastAsia" w:ascii="仿宋" w:hAnsi="仿宋" w:eastAsia="仿宋" w:cs="仿宋"/>
          <w:color w:val="auto"/>
          <w:sz w:val="28"/>
          <w:szCs w:val="28"/>
          <w:highlight w:val="none"/>
          <w:lang w:val="en-US" w:eastAsia="zh-CN"/>
        </w:rPr>
        <w:t>（北京时间）</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地点：淮南市安泰工程咨询有限公司二楼开标室（原淮南市房地产管理局市直机关房管所）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仿宋" w:hAnsi="仿宋" w:eastAsia="仿宋" w:cs="仿宋"/>
          <w:b/>
          <w:bCs/>
          <w:i w:val="0"/>
          <w:iCs w:val="0"/>
          <w:caps w:val="0"/>
          <w:color w:val="auto"/>
          <w:spacing w:val="0"/>
          <w:kern w:val="0"/>
          <w:sz w:val="28"/>
          <w:szCs w:val="28"/>
          <w:highlight w:val="none"/>
          <w:shd w:val="clear" w:fill="FFFFFF"/>
          <w:lang w:val="en-US" w:eastAsia="zh-CN" w:bidi="ar"/>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六、公告期限</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七、其他补充事宜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1、发布媒介：安徽惠群城市物业有限公司官网（https://www.anhuihuiqun.com/。</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2、竞选保证金：本项目不要求。</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3、关于本项目的发布、变更、答疑等信息将在安徽惠群城市物业有限公司官网（https://www.anhuihuiqun.com/）发布。竞选人须随时关注该项目信息动态，如因关注不及时错过信息下载，责任自行承担。</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4、现场只允许各潜在竞选人委派一名工作人员持授权委托书前来参加开标会议，竞选人未按规定时间参加开标会的视为自动放弃投标资格。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10" w:beforeAutospacing="0" w:after="10" w:afterAutospacing="0" w:line="312" w:lineRule="auto"/>
        <w:ind w:left="0" w:right="0" w:firstLine="0"/>
        <w:jc w:val="both"/>
        <w:textAlignment w:val="auto"/>
        <w:rPr>
          <w:rFonts w:hint="eastAsia" w:ascii="仿宋" w:hAnsi="仿宋" w:eastAsia="仿宋" w:cs="仿宋"/>
          <w:b/>
          <w:bCs/>
          <w:i w:val="0"/>
          <w:iCs w:val="0"/>
          <w:caps w:val="0"/>
          <w:color w:val="auto"/>
          <w:spacing w:val="0"/>
          <w:kern w:val="0"/>
          <w:sz w:val="28"/>
          <w:szCs w:val="28"/>
          <w:highlight w:val="none"/>
          <w:shd w:val="clear" w:fill="FFFFFF"/>
          <w:lang w:val="en-US" w:eastAsia="zh-CN" w:bidi="ar"/>
        </w:rPr>
      </w:pPr>
      <w:bookmarkStart w:id="17" w:name="_Toc498"/>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八、凡对本次采购提出询问，请按以下方式联系。</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1.比选人信息</w:t>
      </w:r>
      <w:bookmarkEnd w:id="17"/>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名  称：</w:t>
      </w:r>
      <w:r>
        <w:rPr>
          <w:rFonts w:hint="eastAsia" w:ascii="仿宋" w:hAnsi="仿宋" w:eastAsia="仿宋" w:cs="仿宋"/>
          <w:color w:val="auto"/>
          <w:sz w:val="28"/>
          <w:szCs w:val="28"/>
          <w:highlight w:val="none"/>
          <w:lang w:val="en-US" w:eastAsia="zh-CN"/>
        </w:rPr>
        <w:t>安徽惠群城市物业有限公司</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地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址：淮南市田家庵区中兴村综合楼</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联系人：刘灵灵</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联系方式：0554-</w:t>
      </w:r>
      <w:r>
        <w:rPr>
          <w:rFonts w:hint="eastAsia" w:ascii="仿宋" w:hAnsi="仿宋" w:eastAsia="仿宋" w:cs="仿宋"/>
          <w:color w:val="auto"/>
          <w:sz w:val="28"/>
          <w:szCs w:val="28"/>
          <w:highlight w:val="none"/>
          <w:lang w:val="en-US" w:eastAsia="zh-CN"/>
        </w:rPr>
        <w:t>6678991</w:t>
      </w:r>
      <w:r>
        <w:rPr>
          <w:rFonts w:hint="eastAsia" w:ascii="仿宋" w:hAnsi="仿宋" w:eastAsia="仿宋" w:cs="仿宋"/>
          <w:color w:val="auto"/>
          <w:sz w:val="28"/>
          <w:szCs w:val="28"/>
          <w:highlight w:val="none"/>
          <w:lang w:eastAsia="zh-CN"/>
        </w:rPr>
        <w:t xml:space="preserve">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bookmarkStart w:id="18" w:name="_Toc12648"/>
      <w:r>
        <w:rPr>
          <w:rFonts w:hint="eastAsia" w:ascii="仿宋" w:hAnsi="仿宋" w:eastAsia="仿宋" w:cs="仿宋"/>
          <w:color w:val="auto"/>
          <w:sz w:val="28"/>
          <w:szCs w:val="28"/>
          <w:highlight w:val="none"/>
          <w:lang w:eastAsia="zh-CN"/>
        </w:rPr>
        <w:t>2.采购代理机构信息</w:t>
      </w:r>
      <w:bookmarkEnd w:id="18"/>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名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称：</w:t>
      </w:r>
      <w:r>
        <w:rPr>
          <w:rFonts w:hint="eastAsia" w:ascii="仿宋" w:hAnsi="仿宋" w:eastAsia="仿宋" w:cs="仿宋"/>
          <w:color w:val="auto"/>
          <w:sz w:val="28"/>
          <w:szCs w:val="28"/>
          <w:highlight w:val="none"/>
          <w:lang w:val="en-US" w:eastAsia="zh-CN"/>
        </w:rPr>
        <w:t xml:space="preserve">淮南市安泰工程咨询有限公司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  址：淮南市田家庵区洞山街道中兴村5号楼对面</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联系人：刘灵灵、</w:t>
      </w:r>
      <w:r>
        <w:rPr>
          <w:rFonts w:hint="eastAsia" w:ascii="仿宋" w:hAnsi="仿宋" w:eastAsia="仿宋" w:cs="仿宋"/>
          <w:color w:val="auto"/>
          <w:sz w:val="28"/>
          <w:szCs w:val="28"/>
          <w:highlight w:val="none"/>
          <w:lang w:val="en-US" w:eastAsia="zh-CN"/>
        </w:rPr>
        <w:t>常工</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default" w:ascii="仿宋" w:hAnsi="仿宋" w:eastAsia="仿宋" w:cs="仿宋"/>
          <w:color w:val="auto"/>
          <w:sz w:val="28"/>
          <w:szCs w:val="28"/>
          <w:highlight w:val="none"/>
          <w:lang w:val="en-US"/>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eastAsia" w:ascii="仿宋" w:hAnsi="仿宋" w:eastAsia="仿宋" w:cs="仿宋"/>
          <w:color w:val="auto"/>
          <w:sz w:val="28"/>
          <w:szCs w:val="28"/>
          <w:highlight w:val="none"/>
          <w:lang w:eastAsia="zh-CN"/>
        </w:rPr>
        <w:t>联系方式：0554-6678991、</w:t>
      </w:r>
      <w:r>
        <w:rPr>
          <w:rFonts w:hint="eastAsia" w:ascii="仿宋" w:hAnsi="仿宋" w:eastAsia="仿宋" w:cs="仿宋"/>
          <w:color w:val="auto"/>
          <w:sz w:val="28"/>
          <w:szCs w:val="28"/>
          <w:highlight w:val="none"/>
          <w:lang w:val="en-US" w:eastAsia="zh-CN"/>
        </w:rPr>
        <w:t>15955406260</w:t>
      </w:r>
    </w:p>
    <w:p>
      <w:pPr>
        <w:pStyle w:val="2"/>
        <w:numPr>
          <w:ilvl w:val="0"/>
          <w:numId w:val="0"/>
        </w:numPr>
        <w:tabs>
          <w:tab w:val="clear" w:pos="1830"/>
        </w:tabs>
        <w:spacing w:line="500" w:lineRule="exact"/>
        <w:ind w:left="0" w:leftChars="0" w:right="0" w:rightChars="0" w:firstLine="0" w:firstLineChars="0"/>
        <w:jc w:val="center"/>
        <w:outlineLvl w:val="0"/>
        <w:rPr>
          <w:rFonts w:hint="eastAsia" w:ascii="宋体" w:hAnsi="宋体" w:eastAsia="宋体" w:cs="宋体"/>
          <w:b/>
          <w:bCs w:val="0"/>
          <w:color w:val="auto"/>
          <w:sz w:val="32"/>
          <w:szCs w:val="32"/>
          <w:highlight w:val="none"/>
        </w:rPr>
      </w:pPr>
      <w:bookmarkStart w:id="19" w:name="_Toc22720"/>
      <w:r>
        <w:rPr>
          <w:rFonts w:hint="eastAsia" w:ascii="宋体" w:hAnsi="宋体" w:eastAsia="宋体" w:cs="宋体"/>
          <w:b/>
          <w:bCs w:val="0"/>
          <w:color w:val="auto"/>
          <w:sz w:val="32"/>
          <w:szCs w:val="32"/>
          <w:highlight w:val="none"/>
        </w:rPr>
        <w:t xml:space="preserve">第二章 </w:t>
      </w:r>
      <w:r>
        <w:rPr>
          <w:rFonts w:hint="eastAsia" w:ascii="宋体" w:hAnsi="宋体" w:eastAsia="宋体" w:cs="宋体"/>
          <w:b/>
          <w:bCs w:val="0"/>
          <w:color w:val="auto"/>
          <w:sz w:val="32"/>
          <w:szCs w:val="32"/>
          <w:highlight w:val="none"/>
          <w:lang w:val="en-US" w:eastAsia="zh-CN"/>
        </w:rPr>
        <w:t>竞选</w:t>
      </w:r>
      <w:r>
        <w:rPr>
          <w:rFonts w:hint="eastAsia" w:ascii="宋体" w:hAnsi="宋体" w:eastAsia="宋体" w:cs="宋体"/>
          <w:b/>
          <w:bCs w:val="0"/>
          <w:color w:val="auto"/>
          <w:sz w:val="32"/>
          <w:szCs w:val="32"/>
          <w:highlight w:val="none"/>
        </w:rPr>
        <w:t>须知前附表</w:t>
      </w:r>
      <w:bookmarkEnd w:id="19"/>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bCs/>
          <w:color w:val="auto"/>
          <w:sz w:val="28"/>
          <w:szCs w:val="28"/>
          <w:highlight w:val="none"/>
          <w:lang w:val="en-US" w:eastAsia="zh-CN"/>
        </w:rPr>
      </w:pPr>
    </w:p>
    <w:tbl>
      <w:tblPr>
        <w:tblStyle w:val="16"/>
        <w:tblpPr w:leftFromText="181" w:rightFromText="181" w:vertAnchor="text" w:horzAnchor="page" w:tblpXSpec="center" w:tblpY="1"/>
        <w:tblOverlap w:val="never"/>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251"/>
        <w:gridCol w:w="69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说明与要求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比选人</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详见</w:t>
            </w:r>
            <w:r>
              <w:rPr>
                <w:rFonts w:hint="eastAsia" w:ascii="宋体" w:hAnsi="宋体" w:eastAsia="宋体" w:cs="宋体"/>
                <w:color w:val="auto"/>
                <w:sz w:val="24"/>
                <w:szCs w:val="24"/>
                <w:highlight w:val="none"/>
                <w:lang w:val="en-US" w:eastAsia="zh-CN"/>
              </w:rPr>
              <w:t>比选公告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招标代理机构</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详见</w:t>
            </w:r>
            <w:r>
              <w:rPr>
                <w:rFonts w:hint="eastAsia" w:ascii="宋体" w:hAnsi="宋体" w:eastAsia="宋体" w:cs="宋体"/>
                <w:color w:val="auto"/>
                <w:sz w:val="24"/>
                <w:szCs w:val="24"/>
                <w:highlight w:val="none"/>
                <w:lang w:val="en-US" w:eastAsia="zh-CN"/>
              </w:rPr>
              <w:t>比选公告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项目名称</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西城嘉园、益民阳光</w:t>
            </w:r>
            <w:r>
              <w:rPr>
                <w:rFonts w:hint="eastAsia" w:ascii="宋体" w:hAnsi="宋体" w:eastAsia="宋体" w:cs="宋体"/>
                <w:color w:val="auto"/>
                <w:sz w:val="24"/>
                <w:szCs w:val="24"/>
                <w:highlight w:val="none"/>
                <w:lang w:val="en-US" w:eastAsia="zh-CN"/>
              </w:rPr>
              <w:t>电梯维保服务项目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服务地点</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淮南市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资金来源</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采购需求</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详见</w:t>
            </w:r>
            <w:r>
              <w:rPr>
                <w:rFonts w:hint="eastAsia" w:ascii="宋体" w:hAnsi="宋体" w:eastAsia="宋体" w:cs="宋体"/>
                <w:color w:val="auto"/>
                <w:sz w:val="24"/>
                <w:szCs w:val="24"/>
                <w:highlight w:val="none"/>
                <w:lang w:val="en-US" w:eastAsia="zh-CN"/>
              </w:rPr>
              <w:t>第三章采购需求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 w:beforeAutospacing="0" w:after="10" w:afterAutospacing="0"/>
              <w:ind w:left="0" w:leftChars="0" w:right="0" w:rightChars="0"/>
              <w:jc w:val="lef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最高限价</w:t>
            </w:r>
          </w:p>
        </w:tc>
        <w:tc>
          <w:tcPr>
            <w:tcW w:w="3476" w:type="pct"/>
            <w:vAlign w:val="center"/>
          </w:tcPr>
          <w:p>
            <w:pPr>
              <w:spacing w:line="500" w:lineRule="exact"/>
              <w:rPr>
                <w:rFonts w:hint="eastAsia" w:ascii="宋体" w:hAnsi="宋体" w:eastAsia="宋体" w:cs="宋体"/>
                <w:snapToGrid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137400</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元/年(单价最高限价：2290</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元/部/年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 xml:space="preserve">投标报价不得高于最高限价，否则按无效标处理。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报价要求</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包括完成本项目所需要的人工费、材料（设备）费用、维护费、管理费、利润、风险费、税费、运输费、电梯保险费及完成本项目的一切费用。（如竞选人成交后，成交价格不受市场波动因素影响，不予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增值税税金相关要求</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（1）计税方法： </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shd w:val="clear" w:color="FFFFFF" w:fill="D9D9D9"/>
                <w:lang w:val="en-US" w:eastAsia="zh-CN"/>
              </w:rPr>
            </w:pPr>
            <w:r>
              <w:rPr>
                <w:rFonts w:hint="eastAsia" w:ascii="宋体" w:hAnsi="宋体" w:eastAsia="宋体" w:cs="宋体"/>
                <w:b w:val="0"/>
                <w:bCs w:val="0"/>
                <w:color w:val="auto"/>
                <w:sz w:val="24"/>
                <w:szCs w:val="24"/>
                <w:highlight w:val="none"/>
                <w:shd w:val="clear" w:color="FFFFFF" w:fill="D9D9D9"/>
                <w:lang w:val="en-US" w:eastAsia="zh-CN"/>
              </w:rPr>
              <w:t xml:space="preserve">√一般计税方法 </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简易计算方法 </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（2）发票类型： </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shd w:val="clear" w:color="FFFFFF" w:fill="D9D9D9"/>
                <w:lang w:val="en-US" w:eastAsia="zh-CN"/>
              </w:rPr>
            </w:pPr>
            <w:r>
              <w:rPr>
                <w:rFonts w:hint="eastAsia" w:ascii="宋体" w:hAnsi="宋体" w:eastAsia="宋体" w:cs="宋体"/>
                <w:b w:val="0"/>
                <w:bCs w:val="0"/>
                <w:color w:val="auto"/>
                <w:sz w:val="24"/>
                <w:szCs w:val="24"/>
                <w:highlight w:val="none"/>
                <w:shd w:val="clear" w:color="FFFFFF" w:fill="D9D9D9"/>
                <w:lang w:val="en-US" w:eastAsia="zh-CN"/>
              </w:rPr>
              <w:t>√增值税专用发票</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240" w:firstLineChars="1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增值税普通发票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tcBorders>
              <w:bottom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服务期限</w:t>
            </w:r>
          </w:p>
        </w:tc>
        <w:tc>
          <w:tcPr>
            <w:tcW w:w="347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rPr>
            </w:pPr>
            <w:r>
              <w:rPr>
                <w:rFonts w:hint="eastAsia" w:ascii="宋体" w:hAnsi="宋体" w:eastAsia="宋体" w:cs="宋体"/>
                <w:b w:val="0"/>
                <w:bCs w:val="0"/>
                <w:i w:val="0"/>
                <w:iCs w:val="0"/>
                <w:caps w:val="0"/>
                <w:strike w:val="0"/>
                <w:dstrike w:val="0"/>
                <w:color w:val="auto"/>
                <w:spacing w:val="4"/>
                <w:sz w:val="24"/>
                <w:szCs w:val="24"/>
                <w:highlight w:val="none"/>
                <w:shd w:val="clear" w:color="auto" w:fill="auto"/>
                <w:vertAlign w:val="baseline"/>
                <w:lang w:val="en-US" w:eastAsia="zh-CN"/>
              </w:rPr>
              <w:t xml:space="preserve"> </w:t>
            </w:r>
            <w:r>
              <w:rPr>
                <w:rFonts w:hint="eastAsia" w:ascii="宋体" w:hAnsi="宋体" w:eastAsia="宋体" w:cs="宋体"/>
                <w:color w:val="auto"/>
                <w:sz w:val="24"/>
                <w:szCs w:val="24"/>
                <w:highlight w:val="none"/>
                <w:lang w:val="en-US" w:eastAsia="zh-CN"/>
              </w:rPr>
              <w:t>1年（1+1+1模式）</w:t>
            </w:r>
            <w:r>
              <w:rPr>
                <w:rFonts w:hint="eastAsia" w:ascii="宋体" w:hAnsi="宋体" w:eastAsia="宋体" w:cs="宋体"/>
                <w:color w:val="auto"/>
                <w:sz w:val="24"/>
                <w:szCs w:val="24"/>
                <w:highlight w:val="none"/>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tcBorders>
              <w:bottom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竞选人资质条件</w:t>
            </w:r>
          </w:p>
        </w:tc>
        <w:tc>
          <w:tcPr>
            <w:tcW w:w="3476" w:type="pct"/>
            <w:tcBorders>
              <w:bottom w:val="single" w:color="auto" w:sz="4" w:space="0"/>
            </w:tcBorders>
            <w:vAlign w:val="center"/>
          </w:tcPr>
          <w:p>
            <w:pPr>
              <w:keepNext w:val="0"/>
              <w:keepLines w:val="0"/>
              <w:widowControl/>
              <w:suppressLineNumbers w:val="0"/>
              <w:jc w:val="left"/>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详见比选公告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tcBorders>
              <w:bottom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是否接受联合体投标</w:t>
            </w:r>
          </w:p>
        </w:tc>
        <w:tc>
          <w:tcPr>
            <w:tcW w:w="347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tcBorders>
              <w:bottom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踏勘现场</w:t>
            </w:r>
          </w:p>
        </w:tc>
        <w:tc>
          <w:tcPr>
            <w:tcW w:w="347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不组织，竞选人自行踏勘。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tcBorders>
              <w:bottom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投标预备会</w:t>
            </w:r>
          </w:p>
        </w:tc>
        <w:tc>
          <w:tcPr>
            <w:tcW w:w="3476" w:type="pct"/>
            <w:tcBorders>
              <w:bottom w:val="single" w:color="auto" w:sz="4" w:space="0"/>
            </w:tcBorders>
            <w:vAlign w:val="center"/>
          </w:tcPr>
          <w:p>
            <w:pPr>
              <w:keepNext w:val="0"/>
              <w:keepLines w:val="0"/>
              <w:widowControl/>
              <w:suppressLineNumbers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lang w:val="en-US" w:eastAsia="zh-CN"/>
              </w:rPr>
              <w:t>竞选人提出问题的截止时间</w:t>
            </w:r>
          </w:p>
        </w:tc>
        <w:tc>
          <w:tcPr>
            <w:tcW w:w="347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竞选截止时间前（逾期不予受理）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竞选人提出问题的方式</w:t>
            </w:r>
          </w:p>
        </w:tc>
        <w:tc>
          <w:tcPr>
            <w:tcW w:w="3476" w:type="pct"/>
            <w:tcBorders>
              <w:top w:val="single" w:color="auto" w:sz="4" w:space="0"/>
            </w:tcBorders>
            <w:vAlign w:val="center"/>
          </w:tcPr>
          <w:p>
            <w:pPr>
              <w:keepNext w:val="0"/>
              <w:keepLines w:val="0"/>
              <w:widowControl/>
              <w:suppressLineNumbers w:val="0"/>
              <w:jc w:val="left"/>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竞选人若对比选文件有任何疑问，应于竞选截止时间前在电话或书面向比选人提出澄清要求。对在规定时间前收到的澄清答疑要求，代理机构均将网上予以答复，竞选人有义务自行查阅。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构成必须文件的其他材料</w:t>
            </w:r>
          </w:p>
        </w:tc>
        <w:tc>
          <w:tcPr>
            <w:tcW w:w="3476"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澄清文件、答疑文件等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竞选有效期</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从</w:t>
            </w:r>
            <w:r>
              <w:rPr>
                <w:rFonts w:hint="eastAsia" w:ascii="宋体" w:hAnsi="宋体" w:eastAsia="宋体" w:cs="宋体"/>
                <w:b w:val="0"/>
                <w:bCs w:val="0"/>
                <w:color w:val="auto"/>
                <w:sz w:val="24"/>
                <w:szCs w:val="24"/>
                <w:highlight w:val="none"/>
                <w:lang w:val="en-US" w:eastAsia="zh-CN"/>
              </w:rPr>
              <w:t>竞选</w:t>
            </w:r>
            <w:r>
              <w:rPr>
                <w:rFonts w:hint="eastAsia" w:ascii="宋体" w:hAnsi="宋体" w:eastAsia="宋体" w:cs="宋体"/>
                <w:b w:val="0"/>
                <w:bCs w:val="0"/>
                <w:color w:val="auto"/>
                <w:sz w:val="24"/>
                <w:szCs w:val="24"/>
                <w:highlight w:val="none"/>
                <w:lang w:eastAsia="zh-CN"/>
              </w:rPr>
              <w:t>截止之日起 90 日历天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资格审查方式</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资格后审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是否允许递交备选投标方案</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签字或盖章要求</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按本比选文件规定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竞选文件份数</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竞选文件正本份数1份；副本份数4份。电子版竞选文件1份。采用U盘保存，随竞选文件正本密封。（密封并加盖单位公章）；正副本一并封装于一个密封袋；。信封封袋上注明：比选人名称、项目名称及项目编号、竞选人名称，竞选人地址，并注明“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年xx月xx日xx时xx分（竞选截止时间）之前不得启封”字样。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是否退还竞选文件</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竞选文件提交截止时间及递交地点</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b w:val="0"/>
                <w:bCs w:val="0"/>
                <w:color w:val="auto"/>
                <w:sz w:val="24"/>
                <w:szCs w:val="24"/>
                <w:highlight w:val="none"/>
                <w:lang w:val="zh-CN" w:eastAsia="zh-CN"/>
              </w:rPr>
              <w:t>详见</w:t>
            </w:r>
            <w:r>
              <w:rPr>
                <w:rFonts w:hint="eastAsia" w:ascii="宋体" w:hAnsi="宋体" w:eastAsia="宋体" w:cs="宋体"/>
                <w:b w:val="0"/>
                <w:bCs w:val="0"/>
                <w:color w:val="auto"/>
                <w:sz w:val="24"/>
                <w:szCs w:val="24"/>
                <w:highlight w:val="none"/>
                <w:lang w:eastAsia="zh-CN"/>
              </w:rPr>
              <w:t>比选公告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0"/>
                <w:sz w:val="24"/>
                <w:szCs w:val="24"/>
                <w:highlight w:val="none"/>
                <w:lang w:val="en-US" w:eastAsia="zh-CN" w:bidi="ar"/>
              </w:rPr>
              <w:t>比选小组的组建</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比选小组构成：</w:t>
            </w:r>
            <w:r>
              <w:rPr>
                <w:rFonts w:hint="eastAsia" w:ascii="宋体" w:hAnsi="宋体" w:eastAsia="宋体" w:cs="宋体"/>
                <w:b w:val="0"/>
                <w:bCs w:val="0"/>
                <w:color w:val="auto"/>
                <w:sz w:val="24"/>
                <w:szCs w:val="24"/>
                <w:highlight w:val="none"/>
                <w:lang w:val="en-US" w:eastAsia="zh-CN"/>
              </w:rPr>
              <w:t>由比选人代表和评审专家组成，3人或以上单数</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评标专家确定方式：</w:t>
            </w:r>
            <w:r>
              <w:rPr>
                <w:rFonts w:hint="eastAsia" w:ascii="宋体" w:hAnsi="宋体" w:eastAsia="宋体" w:cs="宋体"/>
                <w:b w:val="0"/>
                <w:bCs w:val="0"/>
                <w:color w:val="auto"/>
                <w:sz w:val="24"/>
                <w:szCs w:val="24"/>
                <w:highlight w:val="none"/>
                <w:lang w:val="en-US" w:eastAsia="zh-CN"/>
              </w:rPr>
              <w:t xml:space="preserve"> 由业主推荐产生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是否授权比选小组确定中选人</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0"/>
                <w:sz w:val="24"/>
                <w:szCs w:val="24"/>
                <w:highlight w:val="none"/>
                <w:lang w:val="en-US" w:eastAsia="zh-CN" w:bidi="ar"/>
              </w:rPr>
              <w:t>中标公示地点</w:t>
            </w:r>
          </w:p>
        </w:tc>
        <w:tc>
          <w:tcPr>
            <w:tcW w:w="3476" w:type="pct"/>
            <w:vAlign w:val="center"/>
          </w:tcPr>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autoSpaceDE/>
              <w:autoSpaceDN/>
              <w:bidi w:val="0"/>
              <w:adjustRightInd w:val="0"/>
              <w:snapToGrid w:val="0"/>
              <w:spacing w:before="10" w:beforeAutospacing="0" w:after="10" w:afterAutospacing="0"/>
              <w:ind w:left="0" w:leftChars="0" w:right="0" w:rightChars="0"/>
              <w:jc w:val="lef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i w:val="0"/>
                <w:iCs w:val="0"/>
                <w:caps w:val="0"/>
                <w:color w:val="auto"/>
                <w:spacing w:val="4"/>
                <w:sz w:val="24"/>
                <w:szCs w:val="24"/>
                <w:highlight w:val="none"/>
                <w:shd w:val="clear" w:fill="FFFFFF"/>
                <w:vertAlign w:val="baseline"/>
                <w:lang w:val="en-US" w:eastAsia="zh-CN"/>
              </w:rPr>
              <w:t>安徽惠群城市物业有限公司官网（https://www.anhuihuiqun.com/）。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评标原则及办法</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比选小组</w:t>
            </w:r>
            <w:r>
              <w:rPr>
                <w:rFonts w:hint="eastAsia" w:ascii="宋体" w:hAnsi="宋体" w:eastAsia="宋体" w:cs="宋体"/>
                <w:b w:val="0"/>
                <w:bCs w:val="0"/>
                <w:color w:val="auto"/>
                <w:sz w:val="24"/>
                <w:szCs w:val="24"/>
                <w:highlight w:val="none"/>
                <w:lang w:eastAsia="zh-CN"/>
              </w:rPr>
              <w:t>将按照规定对各竞选人的竞选文件采用相同的程序和标准进行评价和比较，评议过程严格按照比选文件的要求和条件进行。</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eastAsia="zh-CN"/>
              </w:rPr>
              <w:t>本项目评标方法采用</w:t>
            </w:r>
            <w:r>
              <w:rPr>
                <w:rFonts w:hint="eastAsia" w:ascii="宋体" w:hAnsi="宋体" w:eastAsia="宋体" w:cs="宋体"/>
                <w:b/>
                <w:bCs/>
                <w:color w:val="auto"/>
                <w:sz w:val="24"/>
                <w:szCs w:val="24"/>
                <w:highlight w:val="none"/>
                <w:u w:val="single"/>
                <w:lang w:val="en-US" w:eastAsia="zh-CN"/>
              </w:rPr>
              <w:t>综合评分法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履约保证金</w:t>
            </w:r>
          </w:p>
        </w:tc>
        <w:tc>
          <w:tcPr>
            <w:tcW w:w="3476"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中选人在合同签订前须向比选人缴纳成交金额5%的履约保证金，合同履行完毕后退还（无息）。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代理服务费</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支付方式</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1.支付时间：每半年支付一次维保费用。</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2.支付金额：合同金额的50%。</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3.付款前，中选人须开具6%增值税专用发票。</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注：具体付款方式，详见第六章《电梯维保合同》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eastAsia" w:ascii="宋体" w:hAnsi="宋体" w:eastAsia="宋体" w:cs="宋体"/>
                <w:snapToGrid w:val="0"/>
                <w:color w:val="auto"/>
                <w:sz w:val="24"/>
                <w:szCs w:val="24"/>
                <w:highlight w:val="none"/>
                <w:lang w:val="en-US" w:eastAsia="zh-CN"/>
              </w:rPr>
            </w:pPr>
          </w:p>
        </w:tc>
        <w:tc>
          <w:tcPr>
            <w:tcW w:w="113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0" w:after="1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比选文件解释权 </w:t>
            </w:r>
          </w:p>
        </w:tc>
        <w:tc>
          <w:tcPr>
            <w:tcW w:w="3476" w:type="pct"/>
            <w:vAlign w:val="center"/>
          </w:tcPr>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1、比选文件的最终解释权归比选人。</w:t>
            </w:r>
          </w:p>
          <w:p>
            <w:pPr>
              <w:keepNext w:val="0"/>
              <w:keepLines w:val="0"/>
              <w:pageBreakBefore w:val="0"/>
              <w:widowControl w:val="0"/>
              <w:kinsoku/>
              <w:wordWrap/>
              <w:overflowPunct/>
              <w:topLinePunct w:val="0"/>
              <w:autoSpaceDE/>
              <w:autoSpaceDN/>
              <w:bidi w:val="0"/>
              <w:adjustRightInd w:val="0"/>
              <w:snapToGrid w:val="0"/>
              <w:spacing w:before="10" w:after="10" w:line="240" w:lineRule="auto"/>
              <w:ind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val="0"/>
                <w:color w:val="auto"/>
                <w:sz w:val="24"/>
                <w:szCs w:val="24"/>
                <w:highlight w:val="none"/>
                <w:lang w:eastAsia="zh-CN"/>
              </w:rPr>
              <w:t>2、如比选文件中出现前后不一致的描述，各章节解释优先顺序依次为比选公告＞投标须知前附表＞采购需求＞评标办法＞比选文件其他内容。章节内优先顺序为：表格内文字约定效力优先于非表格文字约定效力。</w:t>
            </w:r>
          </w:p>
        </w:tc>
      </w:tr>
    </w:tbl>
    <w:p>
      <w:pPr>
        <w:widowControl/>
        <w:shd w:val="clear" w:color="auto" w:fill="FFFFFF"/>
        <w:spacing w:line="360" w:lineRule="auto"/>
        <w:jc w:val="center"/>
        <w:rPr>
          <w:rFonts w:hint="eastAsia" w:ascii="宋体" w:hAnsi="宋体" w:eastAsia="宋体" w:cs="宋体"/>
          <w:b/>
          <w:bCs/>
          <w:color w:val="auto"/>
          <w:sz w:val="32"/>
          <w:szCs w:val="32"/>
          <w:highlight w:val="none"/>
        </w:rPr>
        <w:sectPr>
          <w:pgSz w:w="11910" w:h="16850"/>
          <w:pgMar w:top="1440" w:right="1080" w:bottom="1440" w:left="1080" w:header="1001" w:footer="1128" w:gutter="0"/>
          <w:pgNumType w:fmt="decimal"/>
          <w:cols w:space="720" w:num="1"/>
        </w:sectPr>
      </w:pPr>
    </w:p>
    <w:p>
      <w:pPr>
        <w:widowControl/>
        <w:shd w:val="clear" w:color="auto" w:fill="FFFFFF"/>
        <w:spacing w:line="360" w:lineRule="auto"/>
        <w:jc w:val="center"/>
        <w:outlineLvl w:val="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32"/>
          <w:szCs w:val="32"/>
          <w:highlight w:val="none"/>
        </w:rPr>
        <w:t>第三章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采购需求</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（一）基本情况</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本次采购拟选定1家维保单位，为本项目内的</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台电梯进行维保服务。其中</w:t>
      </w:r>
      <w:r>
        <w:rPr>
          <w:rFonts w:hint="eastAsia" w:ascii="宋体" w:hAnsi="宋体" w:cs="宋体"/>
          <w:color w:val="auto"/>
          <w:sz w:val="24"/>
          <w:szCs w:val="24"/>
          <w:highlight w:val="none"/>
          <w:lang w:val="en-US" w:eastAsia="zh-CN"/>
        </w:rPr>
        <w:t>西城嘉园小区20台永大电梯、4台爱默生、4台曼斯顿，共28台电梯，益民阳光32台申龙电梯</w:t>
      </w:r>
      <w:r>
        <w:rPr>
          <w:rFonts w:hint="eastAsia" w:ascii="宋体" w:hAnsi="宋体" w:eastAsia="宋体" w:cs="宋体"/>
          <w:color w:val="auto"/>
          <w:sz w:val="24"/>
          <w:szCs w:val="24"/>
          <w:highlight w:val="none"/>
          <w:lang w:val="en-US" w:eastAsia="zh-CN"/>
        </w:rPr>
        <w:t>。</w:t>
      </w:r>
    </w:p>
    <w:p>
      <w:pPr>
        <w:numPr>
          <w:ilvl w:val="0"/>
          <w:numId w:val="3"/>
        </w:num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137400.00元/年(单价最高限价：2290.00元/部/年）</w:t>
      </w:r>
    </w:p>
    <w:p>
      <w:pPr>
        <w:numPr>
          <w:ilvl w:val="0"/>
          <w:numId w:val="3"/>
        </w:numPr>
        <w:spacing w:line="5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维保单位进场时间：具体时间以业主通知为准。</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）电梯维保相关要求</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1.保证电梯安全运行。</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2.在保证电梯安全运行的前提下满足正常生产的需要。</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3.在保证电梯安全运行的前提下降低电梯维护保养成本。</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4.日常维护保养应遵守的标准</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①《中华人民共和国特种设备安全法》</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②《电梯使用管理与维护保养规则》（TSG T5001-2009）</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③《特种设备安全监察条例》</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④电梯维修规范</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⑤电梯安装使用维护说明书</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⑥维保合同</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5.维保服务的人员要求2人24小时值班服务，并提供人员的姓名、通迅号码并提供有效的特种设备作业人员资格证书复印件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加盖聘用单位印章（</w:t>
      </w:r>
      <w:r>
        <w:rPr>
          <w:rFonts w:hint="eastAsia" w:ascii="宋体" w:hAnsi="宋体" w:eastAsia="宋体" w:cs="宋体"/>
          <w:color w:val="auto"/>
          <w:sz w:val="24"/>
          <w:szCs w:val="24"/>
          <w:highlight w:val="none"/>
          <w:lang w:val="en-US" w:eastAsia="zh-CN"/>
        </w:rPr>
        <w:t>维保人员进场后，比选人对其持证情况进行核查</w:t>
      </w:r>
      <w:r>
        <w:rPr>
          <w:rFonts w:hint="eastAsia" w:ascii="宋体" w:hAnsi="宋体" w:eastAsia="宋体" w:cs="宋体"/>
          <w:color w:val="auto"/>
          <w:sz w:val="24"/>
          <w:szCs w:val="24"/>
          <w:highlight w:val="none"/>
          <w:lang w:eastAsia="zh-CN"/>
        </w:rPr>
        <w:t>)</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6.维保单位提供24小时的紧急救援服务。当电梯发生困人故障，维保单位应在接到</w:t>
      </w:r>
      <w:r>
        <w:rPr>
          <w:rFonts w:hint="eastAsia" w:ascii="宋体"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lang w:eastAsia="zh-CN"/>
        </w:rPr>
        <w:t>通知后30分钟内赶赴现场实施紧急救援；电梯发生其他故障，维保单位应在接到</w:t>
      </w:r>
      <w:r>
        <w:rPr>
          <w:rFonts w:hint="eastAsia" w:ascii="宋体"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lang w:eastAsia="zh-CN"/>
        </w:rPr>
        <w:t>通知后60分钟内赶到现场实施抢修。</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7.对更换下来的电子器件应由比选人保管。</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8.如因使用不当造成电梯故障或损坏，中选人有责任负责及时将其修复或更换，使电梯恢复安全、正常运行，费用双方另行协商确定。</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lang w:eastAsia="zh-CN"/>
        </w:rPr>
        <w:t>保留是否签署续签</w:t>
      </w:r>
      <w:r>
        <w:rPr>
          <w:rFonts w:hint="eastAsia" w:ascii="宋体" w:hAnsi="宋体" w:eastAsia="宋体" w:cs="宋体"/>
          <w:color w:val="auto"/>
          <w:sz w:val="24"/>
          <w:szCs w:val="24"/>
          <w:highlight w:val="none"/>
          <w:lang w:val="en-US" w:eastAsia="zh-CN"/>
        </w:rPr>
        <w:t>下一年维保</w:t>
      </w:r>
      <w:r>
        <w:rPr>
          <w:rFonts w:hint="eastAsia" w:ascii="宋体" w:hAnsi="宋体" w:eastAsia="宋体" w:cs="宋体"/>
          <w:color w:val="auto"/>
          <w:sz w:val="24"/>
          <w:szCs w:val="24"/>
          <w:highlight w:val="none"/>
          <w:lang w:eastAsia="zh-CN"/>
        </w:rPr>
        <w:t>合同的权力。</w:t>
      </w:r>
    </w:p>
    <w:p>
      <w:pPr>
        <w:pStyle w:val="15"/>
        <w:ind w:left="31680" w:firstLine="31680"/>
        <w:rPr>
          <w:rFonts w:hint="eastAsia" w:ascii="宋体" w:hAnsi="宋体" w:eastAsia="宋体" w:cs="宋体"/>
          <w:color w:val="auto"/>
          <w:highlight w:val="none"/>
        </w:rPr>
      </w:pPr>
    </w:p>
    <w:p>
      <w:pPr>
        <w:pStyle w:val="2"/>
        <w:numPr>
          <w:ilvl w:val="0"/>
          <w:numId w:val="0"/>
        </w:numPr>
        <w:tabs>
          <w:tab w:val="clear" w:pos="1830"/>
        </w:tabs>
        <w:spacing w:line="500" w:lineRule="exact"/>
        <w:ind w:left="210" w:leftChars="100"/>
        <w:jc w:val="center"/>
        <w:outlineLvl w:val="9"/>
        <w:rPr>
          <w:rFonts w:hint="eastAsia" w:ascii="宋体" w:hAnsi="宋体" w:eastAsia="宋体" w:cs="宋体"/>
          <w:color w:val="auto"/>
          <w:sz w:val="32"/>
          <w:szCs w:val="32"/>
          <w:highlight w:val="none"/>
        </w:rPr>
        <w:sectPr>
          <w:pgSz w:w="11910" w:h="16850"/>
          <w:pgMar w:top="1440" w:right="1080" w:bottom="1440" w:left="1080" w:header="1001" w:footer="1128" w:gutter="0"/>
          <w:pgNumType w:fmt="decimal"/>
          <w:cols w:space="720" w:num="1"/>
        </w:sectPr>
      </w:pPr>
    </w:p>
    <w:p>
      <w:pPr>
        <w:jc w:val="center"/>
        <w:outlineLvl w:val="0"/>
        <w:rPr>
          <w:rFonts w:hint="eastAsia" w:ascii="宋体" w:hAnsi="宋体" w:eastAsia="宋体" w:cs="宋体"/>
          <w:b/>
          <w:bCs/>
          <w:color w:val="auto"/>
          <w:sz w:val="24"/>
          <w:szCs w:val="24"/>
          <w:highlight w:val="none"/>
        </w:rPr>
      </w:pPr>
      <w:bookmarkStart w:id="20" w:name="_Toc8215"/>
      <w:r>
        <w:rPr>
          <w:rFonts w:hint="eastAsia" w:ascii="宋体" w:hAnsi="宋体" w:eastAsia="宋体" w:cs="宋体"/>
          <w:b/>
          <w:bCs/>
          <w:color w:val="auto"/>
          <w:sz w:val="24"/>
          <w:szCs w:val="24"/>
          <w:highlight w:val="none"/>
        </w:rPr>
        <w:t>电梯配件最高限价表</w:t>
      </w:r>
      <w:bookmarkEnd w:id="20"/>
    </w:p>
    <w:p>
      <w:pPr>
        <w:jc w:val="righ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单位：元</w:t>
      </w:r>
    </w:p>
    <w:tbl>
      <w:tblPr>
        <w:tblStyle w:val="16"/>
        <w:tblW w:w="97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697"/>
        <w:gridCol w:w="1888"/>
        <w:gridCol w:w="1783"/>
        <w:gridCol w:w="887"/>
        <w:gridCol w:w="2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名称</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品牌</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规格型号</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单价最高限价（含安装费）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限位开关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底坑安全开关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检修开关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双稳态开关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光电平层开关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GD-30A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GD-1a、b</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抱闸检测开关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轿门开关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抱闸检测板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申龙抱闸板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盘车轮开关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三项电源开关</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IP63A</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申龙7000-IP63A</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盘车开关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检修上下行按钮</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应急照明（套）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永大ENT（包括应急电源和应急灯）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申龙7000-IP63A（包括应急电源和应急灯）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底坑检修盒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永大ENT（带开关）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申龙7000（带开关）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整流桥</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按钮排线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风扇</w:t>
            </w:r>
          </w:p>
        </w:tc>
        <w:tc>
          <w:tcPr>
            <w:tcW w:w="18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FB-10B</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FB-9B</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轿门同步传动皮带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门机电动机皮带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6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门机电动机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BM37/2E</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称重装置</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对讲主机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WF/DS</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对讲副机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WF/FJ</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电子到站钟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电子报警蜂鸣器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AV*-2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苏州江南快速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DZE-14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BAD150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制动电阻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RDLX-5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曳引机钢丝绳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限速器钢丝绳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厅门重锤</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LU2V</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厅门重锤钢丝绳</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厅门重锤套筒</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导向轮</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540-5-13</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曳引轮</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520*5*13</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对重轮</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540*5*13</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补偿链</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缓冲器</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OH-220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限速器</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XO-240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补偿导向装置</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DX220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副导轨</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TK-50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导靴</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靴衬</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油杯</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苏州江南快速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厅门门锁</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DS-161</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门滑块</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厅门挂板</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厅门三角锁</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层门地坎</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轿门</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涨紧轮</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20KG  </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应急电源</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DK24</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开关电源</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KAG240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继电器</w:t>
            </w:r>
          </w:p>
        </w:tc>
        <w:tc>
          <w:tcPr>
            <w:tcW w:w="18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DC132</w:t>
            </w: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相序继电器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XXXJD</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JCA220-32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按钮</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轿厢控制板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SSL02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抱闸整流板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封星电路板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轿厢通讯板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FBI</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轿顶板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EMB-011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轿厢指令板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FPB</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电梯主板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YD7P</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群控板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旋转编码器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DMC-16S</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编码器线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DMC5M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外呼板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操作箱锁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外呼锁梯锁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SFT220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门机控制器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MDS1541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DMD1200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TRZJ100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变频器一体机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变频器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速度PG卡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二代PG卡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门机编码器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MJBM01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bl>
    <w:p>
      <w:pPr>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sectPr>
          <w:pgSz w:w="11910" w:h="16850"/>
          <w:pgMar w:top="1440" w:right="1080" w:bottom="1440" w:left="1080" w:header="1001" w:footer="1128" w:gutter="0"/>
          <w:pgNumType w:fmt="decimal"/>
          <w:cols w:space="720" w:num="1"/>
        </w:sectPr>
      </w:pPr>
    </w:p>
    <w:p>
      <w:pPr>
        <w:pStyle w:val="2"/>
        <w:numPr>
          <w:ilvl w:val="0"/>
          <w:numId w:val="0"/>
        </w:numPr>
        <w:tabs>
          <w:tab w:val="clear" w:pos="1830"/>
        </w:tabs>
        <w:bidi w:val="0"/>
        <w:jc w:val="center"/>
        <w:outlineLvl w:val="0"/>
        <w:rPr>
          <w:rFonts w:hint="eastAsia" w:ascii="宋体" w:hAnsi="宋体" w:eastAsia="宋体" w:cs="宋体"/>
          <w:b/>
          <w:bCs/>
          <w:color w:val="auto"/>
          <w:sz w:val="28"/>
          <w:szCs w:val="24"/>
          <w:highlight w:val="none"/>
        </w:rPr>
      </w:pPr>
      <w:bookmarkStart w:id="21" w:name="_Toc30697"/>
      <w:bookmarkStart w:id="22" w:name="_Toc3339"/>
      <w:r>
        <w:rPr>
          <w:rFonts w:hint="eastAsia" w:ascii="宋体" w:hAnsi="宋体" w:eastAsia="宋体" w:cs="宋体"/>
          <w:b/>
          <w:bCs/>
          <w:color w:val="auto"/>
          <w:sz w:val="36"/>
          <w:szCs w:val="36"/>
          <w:highlight w:val="none"/>
          <w:lang w:val="en-US" w:eastAsia="zh-CN"/>
        </w:rPr>
        <w:t xml:space="preserve">第四章 </w:t>
      </w:r>
      <w:r>
        <w:rPr>
          <w:rFonts w:hint="eastAsia" w:ascii="宋体" w:hAnsi="宋体" w:eastAsia="宋体" w:cs="宋体"/>
          <w:b/>
          <w:bCs/>
          <w:color w:val="auto"/>
          <w:sz w:val="36"/>
          <w:szCs w:val="36"/>
          <w:highlight w:val="none"/>
        </w:rPr>
        <w:t>评</w:t>
      </w:r>
      <w:r>
        <w:rPr>
          <w:rFonts w:hint="eastAsia" w:ascii="宋体" w:hAnsi="宋体" w:eastAsia="宋体" w:cs="宋体"/>
          <w:b/>
          <w:bCs/>
          <w:color w:val="auto"/>
          <w:sz w:val="36"/>
          <w:szCs w:val="36"/>
          <w:highlight w:val="none"/>
          <w:lang w:eastAsia="zh-CN"/>
        </w:rPr>
        <w:t>选</w:t>
      </w:r>
      <w:r>
        <w:rPr>
          <w:rFonts w:hint="eastAsia" w:ascii="宋体" w:hAnsi="宋体" w:eastAsia="宋体" w:cs="宋体"/>
          <w:b/>
          <w:bCs/>
          <w:color w:val="auto"/>
          <w:sz w:val="36"/>
          <w:szCs w:val="36"/>
          <w:highlight w:val="none"/>
        </w:rPr>
        <w:t>办法</w:t>
      </w:r>
      <w:bookmarkEnd w:id="21"/>
      <w:bookmarkEnd w:id="22"/>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1"/>
          <w:highlight w:val="none"/>
        </w:rPr>
      </w:pP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为了保证项目评审工作的正常有序进行，维护比选人、竞选人的合法权益，参照《中华人民共和国招标投标法》及其它相关法律法规，本着公开、公平、公正的原则，制定评标办法。</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本项目</w:t>
      </w:r>
      <w:r>
        <w:rPr>
          <w:rFonts w:hint="eastAsia" w:ascii="宋体" w:hAnsi="宋体" w:eastAsia="宋体" w:cs="宋体"/>
          <w:color w:val="auto"/>
          <w:sz w:val="24"/>
          <w:szCs w:val="21"/>
          <w:highlight w:val="none"/>
          <w:lang w:eastAsia="zh-CN"/>
        </w:rPr>
        <w:t>评审</w:t>
      </w:r>
      <w:r>
        <w:rPr>
          <w:rFonts w:hint="eastAsia" w:ascii="宋体" w:hAnsi="宋体" w:eastAsia="宋体" w:cs="宋体"/>
          <w:color w:val="auto"/>
          <w:sz w:val="24"/>
          <w:szCs w:val="21"/>
          <w:highlight w:val="none"/>
        </w:rPr>
        <w:t>方法采用</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b/>
          <w:bCs/>
          <w:color w:val="auto"/>
          <w:sz w:val="24"/>
          <w:szCs w:val="21"/>
          <w:highlight w:val="none"/>
          <w:u w:val="single"/>
        </w:rPr>
        <w:t xml:space="preserve">综合评分法 </w:t>
      </w:r>
      <w:r>
        <w:rPr>
          <w:rFonts w:hint="eastAsia" w:ascii="宋体" w:hAnsi="宋体" w:eastAsia="宋体" w:cs="宋体"/>
          <w:b/>
          <w:bCs/>
          <w:color w:val="auto"/>
          <w:sz w:val="24"/>
          <w:szCs w:val="21"/>
          <w:highlight w:val="none"/>
          <w:u w:val="none"/>
          <w:lang w:eastAsia="zh-CN"/>
        </w:rPr>
        <w:t>。</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color w:val="auto"/>
          <w:sz w:val="24"/>
          <w:szCs w:val="21"/>
          <w:highlight w:val="none"/>
          <w:lang w:eastAsia="zh-CN"/>
        </w:rPr>
        <w:t>投标函</w:t>
      </w:r>
      <w:r>
        <w:rPr>
          <w:rFonts w:hint="eastAsia" w:ascii="宋体" w:hAnsi="宋体" w:eastAsia="宋体" w:cs="宋体"/>
          <w:color w:val="auto"/>
          <w:sz w:val="24"/>
          <w:szCs w:val="21"/>
          <w:highlight w:val="none"/>
        </w:rPr>
        <w:t>的大写金额与小写金额不一致的，以大写金额为准。</w:t>
      </w:r>
    </w:p>
    <w:p>
      <w:pPr>
        <w:widowControl/>
        <w:shd w:val="clear" w:color="auto" w:fill="FFFFFF"/>
        <w:spacing w:line="360" w:lineRule="auto"/>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r>
        <w:rPr>
          <w:rFonts w:hint="eastAsia" w:ascii="宋体" w:hAnsi="宋体" w:eastAsia="宋体" w:cs="宋体"/>
          <w:color w:val="auto"/>
          <w:sz w:val="24"/>
          <w:szCs w:val="21"/>
          <w:highlight w:val="none"/>
          <w:lang w:val="en-US" w:eastAsia="zh-CN"/>
        </w:rPr>
        <w:t>如果综合得分相同的，以投标报价由低到高的原则确定排序；若投标报价也相同，则通过现场摇号方式确定中选人，竞选人递交竞选文件的顺序号为竞选人编号，根据摇出编号的先后顺序确定排序。</w:t>
      </w:r>
    </w:p>
    <w:p>
      <w:pPr>
        <w:widowControl/>
        <w:shd w:val="clear" w:color="auto" w:fill="FFFFFF"/>
        <w:spacing w:line="360" w:lineRule="auto"/>
        <w:ind w:firstLine="480" w:firstLineChars="200"/>
        <w:jc w:val="left"/>
        <w:rPr>
          <w:rFonts w:hint="eastAsia" w:ascii="宋体" w:hAnsi="宋体" w:eastAsia="宋体" w:cs="宋体"/>
          <w:color w:val="auto"/>
          <w:sz w:val="24"/>
          <w:szCs w:val="21"/>
          <w:highlight w:val="none"/>
          <w:lang w:val="en-US"/>
        </w:rPr>
        <w:sectPr>
          <w:pgSz w:w="11910" w:h="16850"/>
          <w:pgMar w:top="1440" w:right="1080" w:bottom="1440" w:left="1080" w:header="1001" w:footer="1128" w:gutter="0"/>
          <w:pgNumType w:fmt="decimal"/>
          <w:cols w:space="720" w:num="1"/>
        </w:sectPr>
      </w:pPr>
      <w:r>
        <w:rPr>
          <w:rFonts w:hint="eastAsia" w:ascii="宋体" w:hAnsi="宋体" w:eastAsia="宋体" w:cs="宋体"/>
          <w:color w:val="auto"/>
          <w:sz w:val="24"/>
          <w:szCs w:val="21"/>
          <w:highlight w:val="none"/>
          <w:lang w:val="en-US" w:eastAsia="zh-CN"/>
        </w:rPr>
        <w:t xml:space="preserve">5、评委会按下表内容进行投标有效性评审。在采购过程中符合要求的竞选人只有2家的，采购活动可以继续进行。 </w:t>
      </w:r>
    </w:p>
    <w:p>
      <w:pPr>
        <w:pageBreakBefore w:val="0"/>
        <w:kinsoku/>
        <w:overflowPunct/>
        <w:bidi w:val="0"/>
        <w:spacing w:before="312" w:beforeLines="100" w:beforeAutospacing="0" w:after="156" w:afterLines="50" w:afterAutospacing="0" w:line="360" w:lineRule="auto"/>
        <w:jc w:val="center"/>
        <w:outlineLvl w:val="0"/>
        <w:rPr>
          <w:rFonts w:hint="eastAsia" w:ascii="宋体" w:hAnsi="宋体" w:eastAsia="宋体" w:cs="宋体"/>
          <w:b/>
          <w:bCs/>
          <w:color w:val="auto"/>
          <w:sz w:val="28"/>
          <w:szCs w:val="28"/>
          <w:highlight w:val="none"/>
          <w:lang w:val="en-US" w:eastAsia="zh-CN"/>
        </w:rPr>
      </w:pPr>
      <w:bookmarkStart w:id="23" w:name="_Toc29239"/>
      <w:bookmarkStart w:id="24" w:name="_Toc21195"/>
      <w:r>
        <w:rPr>
          <w:rStyle w:val="23"/>
          <w:rFonts w:hint="eastAsia" w:ascii="宋体" w:hAnsi="宋体" w:eastAsia="宋体" w:cs="宋体"/>
          <w:b/>
          <w:bCs/>
          <w:color w:val="auto"/>
          <w:sz w:val="36"/>
          <w:szCs w:val="36"/>
          <w:highlight w:val="none"/>
          <w:lang w:val="en-US" w:eastAsia="zh-CN"/>
        </w:rPr>
        <w:t xml:space="preserve">第五章 </w:t>
      </w:r>
      <w:r>
        <w:rPr>
          <w:rStyle w:val="23"/>
          <w:rFonts w:hint="eastAsia" w:ascii="宋体" w:hAnsi="宋体" w:eastAsia="宋体" w:cs="宋体"/>
          <w:b/>
          <w:bCs/>
          <w:color w:val="auto"/>
          <w:sz w:val="36"/>
          <w:szCs w:val="36"/>
          <w:highlight w:val="none"/>
          <w:lang w:eastAsia="zh-CN"/>
        </w:rPr>
        <w:t>比选</w:t>
      </w:r>
      <w:r>
        <w:rPr>
          <w:rStyle w:val="23"/>
          <w:rFonts w:hint="eastAsia" w:ascii="宋体" w:hAnsi="宋体" w:eastAsia="宋体" w:cs="宋体"/>
          <w:b/>
          <w:bCs/>
          <w:color w:val="auto"/>
          <w:sz w:val="36"/>
          <w:szCs w:val="36"/>
          <w:highlight w:val="none"/>
        </w:rPr>
        <w:t>程序及评</w:t>
      </w:r>
      <w:r>
        <w:rPr>
          <w:rStyle w:val="23"/>
          <w:rFonts w:hint="eastAsia" w:ascii="宋体" w:hAnsi="宋体" w:eastAsia="宋体" w:cs="宋体"/>
          <w:b/>
          <w:bCs/>
          <w:color w:val="auto"/>
          <w:sz w:val="36"/>
          <w:szCs w:val="36"/>
          <w:highlight w:val="none"/>
          <w:lang w:eastAsia="zh-CN"/>
        </w:rPr>
        <w:t>选</w:t>
      </w:r>
      <w:r>
        <w:rPr>
          <w:rStyle w:val="23"/>
          <w:rFonts w:hint="eastAsia" w:ascii="宋体" w:hAnsi="宋体" w:eastAsia="宋体" w:cs="宋体"/>
          <w:b/>
          <w:bCs/>
          <w:color w:val="auto"/>
          <w:sz w:val="36"/>
          <w:szCs w:val="36"/>
          <w:highlight w:val="none"/>
        </w:rPr>
        <w:t>细则</w:t>
      </w:r>
      <w:bookmarkEnd w:id="23"/>
      <w:bookmarkEnd w:id="24"/>
    </w:p>
    <w:p>
      <w:pPr>
        <w:pageBreakBefore w:val="0"/>
        <w:kinsoku/>
        <w:overflowPunct/>
        <w:bidi w:val="0"/>
        <w:spacing w:before="312" w:beforeLines="100" w:beforeAutospacing="0" w:after="156" w:afterLines="50" w:afterAutospacing="0"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比选人</w:t>
      </w:r>
      <w:r>
        <w:rPr>
          <w:rFonts w:hint="eastAsia" w:ascii="宋体" w:hAnsi="宋体" w:eastAsia="宋体" w:cs="宋体"/>
          <w:b w:val="0"/>
          <w:bCs/>
          <w:color w:val="auto"/>
          <w:sz w:val="24"/>
          <w:szCs w:val="24"/>
          <w:highlight w:val="none"/>
        </w:rPr>
        <w:t>将在规定的时间和地点举行</w:t>
      </w:r>
      <w:r>
        <w:rPr>
          <w:rFonts w:hint="eastAsia" w:ascii="宋体" w:hAnsi="宋体" w:eastAsia="宋体" w:cs="宋体"/>
          <w:b w:val="0"/>
          <w:bCs/>
          <w:color w:val="auto"/>
          <w:sz w:val="24"/>
          <w:szCs w:val="24"/>
          <w:highlight w:val="none"/>
          <w:lang w:eastAsia="zh-CN"/>
        </w:rPr>
        <w:t>竞选</w:t>
      </w:r>
      <w:r>
        <w:rPr>
          <w:rFonts w:hint="eastAsia" w:ascii="宋体" w:hAnsi="宋体" w:eastAsia="宋体" w:cs="宋体"/>
          <w:b w:val="0"/>
          <w:bCs/>
          <w:color w:val="auto"/>
          <w:sz w:val="24"/>
          <w:szCs w:val="24"/>
          <w:highlight w:val="none"/>
        </w:rPr>
        <w:t>仪式。</w:t>
      </w:r>
      <w:r>
        <w:rPr>
          <w:rFonts w:hint="eastAsia" w:ascii="宋体" w:hAnsi="宋体" w:eastAsia="宋体" w:cs="宋体"/>
          <w:b w:val="0"/>
          <w:bCs/>
          <w:color w:val="auto"/>
          <w:sz w:val="24"/>
          <w:szCs w:val="24"/>
          <w:highlight w:val="none"/>
          <w:lang w:eastAsia="zh-CN"/>
        </w:rPr>
        <w:t>竞选</w:t>
      </w:r>
      <w:r>
        <w:rPr>
          <w:rFonts w:hint="eastAsia" w:ascii="宋体" w:hAnsi="宋体" w:eastAsia="宋体" w:cs="宋体"/>
          <w:b w:val="0"/>
          <w:bCs/>
          <w:color w:val="auto"/>
          <w:sz w:val="24"/>
          <w:szCs w:val="24"/>
          <w:highlight w:val="none"/>
        </w:rPr>
        <w:t>仪式由</w:t>
      </w:r>
      <w:r>
        <w:rPr>
          <w:rFonts w:hint="eastAsia" w:ascii="宋体" w:hAnsi="宋体" w:eastAsia="宋体" w:cs="宋体"/>
          <w:b w:val="0"/>
          <w:bCs/>
          <w:color w:val="auto"/>
          <w:sz w:val="24"/>
          <w:szCs w:val="24"/>
          <w:highlight w:val="none"/>
          <w:lang w:eastAsia="zh-CN"/>
        </w:rPr>
        <w:t>评选小组</w:t>
      </w:r>
      <w:r>
        <w:rPr>
          <w:rFonts w:hint="eastAsia" w:ascii="宋体" w:hAnsi="宋体" w:eastAsia="宋体" w:cs="宋体"/>
          <w:b w:val="0"/>
          <w:bCs/>
          <w:color w:val="auto"/>
          <w:sz w:val="24"/>
          <w:szCs w:val="24"/>
          <w:highlight w:val="none"/>
        </w:rPr>
        <w:t>组长主持，</w:t>
      </w:r>
      <w:r>
        <w:rPr>
          <w:rFonts w:hint="eastAsia" w:ascii="宋体" w:hAnsi="宋体" w:eastAsia="宋体" w:cs="宋体"/>
          <w:b w:val="0"/>
          <w:bCs/>
          <w:color w:val="auto"/>
          <w:sz w:val="24"/>
          <w:szCs w:val="24"/>
          <w:highlight w:val="none"/>
          <w:lang w:eastAsia="zh-CN"/>
        </w:rPr>
        <w:t>比选人</w:t>
      </w:r>
      <w:r>
        <w:rPr>
          <w:rFonts w:hint="eastAsia" w:ascii="宋体" w:hAnsi="宋体" w:eastAsia="宋体" w:cs="宋体"/>
          <w:b w:val="0"/>
          <w:bCs/>
          <w:color w:val="auto"/>
          <w:sz w:val="24"/>
          <w:szCs w:val="24"/>
          <w:highlight w:val="none"/>
        </w:rPr>
        <w:t>代表、</w:t>
      </w:r>
      <w:r>
        <w:rPr>
          <w:rFonts w:hint="eastAsia" w:ascii="宋体" w:hAnsi="宋体" w:eastAsia="宋体" w:cs="宋体"/>
          <w:b w:val="0"/>
          <w:bCs/>
          <w:color w:val="auto"/>
          <w:sz w:val="24"/>
          <w:szCs w:val="24"/>
          <w:highlight w:val="none"/>
          <w:lang w:eastAsia="zh-CN"/>
        </w:rPr>
        <w:t>竞选人</w:t>
      </w:r>
      <w:r>
        <w:rPr>
          <w:rFonts w:hint="eastAsia" w:ascii="宋体" w:hAnsi="宋体" w:eastAsia="宋体" w:cs="宋体"/>
          <w:b w:val="0"/>
          <w:bCs/>
          <w:color w:val="auto"/>
          <w:sz w:val="24"/>
          <w:szCs w:val="24"/>
          <w:highlight w:val="none"/>
        </w:rPr>
        <w:t>代表及有关人员参加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按照</w:t>
      </w:r>
      <w:r>
        <w:rPr>
          <w:rFonts w:hint="eastAsia" w:ascii="宋体" w:hAnsi="宋体" w:eastAsia="宋体" w:cs="宋体"/>
          <w:b w:val="0"/>
          <w:bCs/>
          <w:color w:val="auto"/>
          <w:sz w:val="24"/>
          <w:szCs w:val="24"/>
          <w:highlight w:val="none"/>
          <w:lang w:eastAsia="zh-CN"/>
        </w:rPr>
        <w:t>开标顺序</w:t>
      </w:r>
      <w:r>
        <w:rPr>
          <w:rFonts w:hint="eastAsia" w:ascii="宋体" w:hAnsi="宋体" w:eastAsia="宋体" w:cs="宋体"/>
          <w:b w:val="0"/>
          <w:bCs/>
          <w:color w:val="auto"/>
          <w:sz w:val="24"/>
          <w:szCs w:val="24"/>
          <w:highlight w:val="none"/>
        </w:rPr>
        <w:t>的要求开标。</w:t>
      </w:r>
    </w:p>
    <w:p>
      <w:pPr>
        <w:pageBreakBefore w:val="0"/>
        <w:kinsoku/>
        <w:overflowPunct/>
        <w:bidi w:val="0"/>
        <w:spacing w:before="312" w:beforeLines="100" w:beforeAutospacing="0" w:after="156" w:afterLines="50" w:afterAutospacing="0"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对</w:t>
      </w:r>
      <w:r>
        <w:rPr>
          <w:rFonts w:hint="eastAsia" w:ascii="宋体" w:hAnsi="宋体" w:cs="宋体"/>
          <w:b w:val="0"/>
          <w:bCs/>
          <w:color w:val="auto"/>
          <w:sz w:val="24"/>
          <w:szCs w:val="24"/>
          <w:highlight w:val="none"/>
          <w:lang w:eastAsia="zh-CN"/>
        </w:rPr>
        <w:t>竞选文件</w:t>
      </w:r>
      <w:r>
        <w:rPr>
          <w:rFonts w:hint="eastAsia" w:ascii="宋体" w:hAnsi="宋体" w:eastAsia="宋体" w:cs="宋体"/>
          <w:b w:val="0"/>
          <w:bCs/>
          <w:color w:val="auto"/>
          <w:sz w:val="24"/>
          <w:szCs w:val="24"/>
          <w:highlight w:val="none"/>
        </w:rPr>
        <w:t>的审查：</w:t>
      </w:r>
      <w:r>
        <w:rPr>
          <w:rFonts w:hint="eastAsia" w:ascii="宋体" w:hAnsi="宋体" w:eastAsia="宋体" w:cs="宋体"/>
          <w:b w:val="0"/>
          <w:bCs/>
          <w:color w:val="auto"/>
          <w:sz w:val="24"/>
          <w:szCs w:val="24"/>
          <w:highlight w:val="none"/>
          <w:lang w:eastAsia="zh-CN"/>
        </w:rPr>
        <w:t>评选小组</w:t>
      </w:r>
      <w:r>
        <w:rPr>
          <w:rFonts w:hint="eastAsia" w:ascii="宋体" w:hAnsi="宋体" w:eastAsia="宋体" w:cs="宋体"/>
          <w:b w:val="0"/>
          <w:bCs/>
          <w:color w:val="auto"/>
          <w:sz w:val="24"/>
          <w:szCs w:val="24"/>
          <w:highlight w:val="none"/>
        </w:rPr>
        <w:t>对各</w:t>
      </w:r>
      <w:r>
        <w:rPr>
          <w:rFonts w:hint="eastAsia" w:ascii="宋体" w:hAnsi="宋体" w:eastAsia="宋体" w:cs="宋体"/>
          <w:b w:val="0"/>
          <w:bCs/>
          <w:color w:val="auto"/>
          <w:sz w:val="24"/>
          <w:szCs w:val="24"/>
          <w:highlight w:val="none"/>
          <w:lang w:eastAsia="zh-CN"/>
        </w:rPr>
        <w:t>竞选人</w:t>
      </w:r>
      <w:r>
        <w:rPr>
          <w:rFonts w:hint="eastAsia" w:ascii="宋体" w:hAnsi="宋体" w:eastAsia="宋体" w:cs="宋体"/>
          <w:b w:val="0"/>
          <w:bCs/>
          <w:color w:val="auto"/>
          <w:sz w:val="24"/>
          <w:szCs w:val="24"/>
          <w:highlight w:val="none"/>
        </w:rPr>
        <w:t>的资格以及</w:t>
      </w:r>
      <w:r>
        <w:rPr>
          <w:rFonts w:hint="eastAsia" w:ascii="宋体" w:hAnsi="宋体" w:cs="宋体"/>
          <w:b w:val="0"/>
          <w:bCs/>
          <w:color w:val="auto"/>
          <w:sz w:val="24"/>
          <w:szCs w:val="24"/>
          <w:highlight w:val="none"/>
          <w:lang w:eastAsia="zh-CN"/>
        </w:rPr>
        <w:t>竞选文件</w:t>
      </w:r>
      <w:r>
        <w:rPr>
          <w:rFonts w:hint="eastAsia" w:ascii="宋体" w:hAnsi="宋体" w:eastAsia="宋体" w:cs="宋体"/>
          <w:b w:val="0"/>
          <w:bCs/>
          <w:color w:val="auto"/>
          <w:sz w:val="24"/>
          <w:szCs w:val="24"/>
          <w:highlight w:val="none"/>
        </w:rPr>
        <w:t>的有效性、完整性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是否对</w:t>
      </w:r>
      <w:r>
        <w:rPr>
          <w:rFonts w:hint="eastAsia" w:ascii="宋体" w:hAnsi="宋体" w:eastAsia="宋体" w:cs="宋体"/>
          <w:b w:val="0"/>
          <w:bCs/>
          <w:color w:val="auto"/>
          <w:sz w:val="24"/>
          <w:szCs w:val="24"/>
          <w:highlight w:val="none"/>
          <w:lang w:eastAsia="zh-CN"/>
        </w:rPr>
        <w:t>比选文件</w:t>
      </w:r>
      <w:r>
        <w:rPr>
          <w:rFonts w:hint="eastAsia" w:ascii="宋体" w:hAnsi="宋体" w:eastAsia="宋体" w:cs="宋体"/>
          <w:b w:val="0"/>
          <w:bCs/>
          <w:color w:val="auto"/>
          <w:sz w:val="24"/>
          <w:szCs w:val="24"/>
          <w:highlight w:val="none"/>
        </w:rPr>
        <w:t>的实质性要求作出响应等方面进行检查，以确定</w:t>
      </w:r>
      <w:r>
        <w:rPr>
          <w:rFonts w:hint="eastAsia" w:ascii="宋体" w:hAnsi="宋体" w:eastAsia="宋体" w:cs="宋体"/>
          <w:b w:val="0"/>
          <w:bCs/>
          <w:color w:val="auto"/>
          <w:sz w:val="24"/>
          <w:szCs w:val="24"/>
          <w:highlight w:val="none"/>
          <w:lang w:eastAsia="zh-CN"/>
        </w:rPr>
        <w:t>竞选人</w:t>
      </w:r>
      <w:r>
        <w:rPr>
          <w:rFonts w:hint="eastAsia" w:ascii="宋体" w:hAnsi="宋体" w:eastAsia="宋体" w:cs="宋体"/>
          <w:b w:val="0"/>
          <w:bCs/>
          <w:color w:val="auto"/>
          <w:sz w:val="24"/>
          <w:szCs w:val="24"/>
          <w:highlight w:val="none"/>
        </w:rPr>
        <w:t>是否具备</w:t>
      </w:r>
      <w:r>
        <w:rPr>
          <w:rFonts w:hint="eastAsia" w:ascii="宋体" w:hAnsi="宋体" w:eastAsia="宋体" w:cs="宋体"/>
          <w:b w:val="0"/>
          <w:bCs/>
          <w:color w:val="auto"/>
          <w:sz w:val="24"/>
          <w:szCs w:val="24"/>
          <w:highlight w:val="none"/>
          <w:lang w:eastAsia="zh-CN"/>
        </w:rPr>
        <w:t>中选</w:t>
      </w:r>
      <w:r>
        <w:rPr>
          <w:rFonts w:hint="eastAsia" w:ascii="宋体" w:hAnsi="宋体" w:eastAsia="宋体" w:cs="宋体"/>
          <w:b w:val="0"/>
          <w:bCs/>
          <w:color w:val="auto"/>
          <w:sz w:val="24"/>
          <w:szCs w:val="24"/>
          <w:highlight w:val="none"/>
        </w:rPr>
        <w:t>资格。</w:t>
      </w:r>
    </w:p>
    <w:p>
      <w:pPr>
        <w:pageBreakBefore w:val="0"/>
        <w:kinsoku/>
        <w:overflowPunct/>
        <w:bidi w:val="0"/>
        <w:spacing w:before="312" w:beforeLines="100" w:beforeAutospacing="0" w:after="156" w:afterLines="50" w:afterAutospacing="0"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比选小组对竞选文件独立评审，按照综合得分由高到低的原则确定中选人。</w:t>
      </w:r>
    </w:p>
    <w:p>
      <w:pPr>
        <w:pageBreakBefore w:val="0"/>
        <w:kinsoku/>
        <w:overflowPunct/>
        <w:bidi w:val="0"/>
        <w:spacing w:before="312" w:beforeLines="100" w:beforeAutospacing="0" w:after="156" w:afterLines="5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评审中，比选小组发现竞选人的竞选文件中对同类问题表述不一致、前后矛盾、有明显文字和计算错误的内容、有可能不符合比选文件规定等情况需要澄清时，比选小组将以询标的方式告知并要求竞选人以书面方式进行必要的澄清、说明或补正。对于询标后判定为不符合比选文件的竞选文件，评委要提出充足的否定理由。最终对竞选人的评审结论分为通过和未通过。比选小组按下表内容进行竞选有效性评审。</w:t>
      </w:r>
    </w:p>
    <w:p>
      <w:pPr>
        <w:rPr>
          <w:rFonts w:hint="eastAsia" w:ascii="宋体" w:hAnsi="宋体" w:eastAsia="宋体" w:cs="宋体"/>
          <w:b/>
          <w:bCs/>
          <w:color w:val="auto"/>
          <w:highlight w:val="none"/>
        </w:rPr>
        <w:sectPr>
          <w:pgSz w:w="11910" w:h="16850"/>
          <w:pgMar w:top="1440" w:right="1080" w:bottom="1440" w:left="1080" w:header="1001" w:footer="1128" w:gutter="0"/>
          <w:pgNumType w:fmt="decimal"/>
          <w:cols w:space="720" w:num="1"/>
        </w:sectPr>
      </w:pPr>
    </w:p>
    <w:p>
      <w:pPr>
        <w:spacing w:line="560" w:lineRule="exact"/>
        <w:jc w:val="center"/>
        <w:rPr>
          <w:rFonts w:hint="eastAsia" w:ascii="宋体" w:hAnsi="宋体" w:eastAsia="宋体" w:cs="宋体"/>
          <w:b/>
          <w:bCs/>
          <w:color w:val="auto"/>
          <w:position w:val="-6"/>
          <w:sz w:val="30"/>
          <w:szCs w:val="30"/>
          <w:highlight w:val="none"/>
        </w:rPr>
      </w:pPr>
      <w:r>
        <w:rPr>
          <w:rFonts w:hint="eastAsia" w:ascii="宋体" w:hAnsi="宋体" w:eastAsia="宋体" w:cs="宋体"/>
          <w:b/>
          <w:bCs/>
          <w:color w:val="auto"/>
          <w:position w:val="-6"/>
          <w:sz w:val="30"/>
          <w:szCs w:val="30"/>
          <w:highlight w:val="none"/>
        </w:rPr>
        <w:t>初步评审表</w:t>
      </w:r>
    </w:p>
    <w:p>
      <w:pPr>
        <w:pStyle w:val="18"/>
        <w:rPr>
          <w:rFonts w:hint="eastAsia" w:ascii="宋体" w:hAnsi="宋体" w:eastAsia="宋体" w:cs="宋体"/>
          <w:color w:val="auto"/>
          <w:highlight w:val="none"/>
        </w:rPr>
      </w:pP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223"/>
        <w:gridCol w:w="6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115"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334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名称</w:t>
            </w:r>
          </w:p>
        </w:tc>
        <w:tc>
          <w:tcPr>
            <w:tcW w:w="3343"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c>
          <w:tcPr>
            <w:tcW w:w="3343" w:type="pct"/>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签字盖章</w:t>
            </w:r>
            <w:r>
              <w:rPr>
                <w:rFonts w:hint="eastAsia" w:ascii="宋体" w:hAnsi="宋体" w:eastAsia="宋体" w:cs="宋体"/>
                <w:color w:val="auto"/>
                <w:sz w:val="24"/>
                <w:szCs w:val="24"/>
                <w:highlight w:val="none"/>
                <w:lang w:val="en-US" w:eastAsia="zh-CN"/>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3343"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不超过控制价且只能有一个有效报价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资格</w:t>
            </w:r>
          </w:p>
        </w:tc>
        <w:tc>
          <w:tcPr>
            <w:tcW w:w="3343"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3343"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3343"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40" w:type="pct"/>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115"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343"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要求</w:t>
            </w:r>
          </w:p>
        </w:tc>
      </w:tr>
    </w:tbl>
    <w:p>
      <w:pPr>
        <w:spacing w:line="300" w:lineRule="exact"/>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1.评标专家根据评审要求判断每项评审内容是否合格；</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2.合格标准：必须全部通过, 否则视为无效投标。 </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对上述内容进行评审时，如发现</w:t>
      </w:r>
      <w:r>
        <w:rPr>
          <w:rFonts w:hint="eastAsia" w:ascii="宋体" w:hAnsi="宋体" w:eastAsia="宋体" w:cs="宋体"/>
          <w:color w:val="auto"/>
          <w:sz w:val="24"/>
          <w:szCs w:val="24"/>
          <w:highlight w:val="none"/>
          <w:lang w:eastAsia="zh-CN"/>
        </w:rPr>
        <w:t>竞选文件</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规定内容存在偏差，应要求</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现场澄清、说明或补正。</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必须现场在</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规定时间内将澄清、说明或补正内容以书面形式提交</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将对澄清、说明或补正内容评审后决定是否符合要求。</w:t>
      </w:r>
    </w:p>
    <w:p>
      <w:pPr>
        <w:pStyle w:val="18"/>
        <w:rPr>
          <w:rFonts w:hint="eastAsia" w:ascii="宋体" w:hAnsi="宋体" w:eastAsia="宋体" w:cs="宋体"/>
          <w:color w:val="auto"/>
          <w:highlight w:val="none"/>
        </w:rPr>
        <w:sectPr>
          <w:pgSz w:w="11910" w:h="16850"/>
          <w:pgMar w:top="1440" w:right="1080" w:bottom="1440" w:left="1080" w:header="1001" w:footer="1128" w:gutter="0"/>
          <w:pgNumType w:fmt="decimal"/>
          <w:cols w:space="720" w:num="1"/>
        </w:sectPr>
      </w:pPr>
    </w:p>
    <w:p>
      <w:pPr>
        <w:pStyle w:val="20"/>
        <w:tabs>
          <w:tab w:val="left" w:pos="1876"/>
        </w:tabs>
        <w:spacing w:line="440" w:lineRule="exact"/>
        <w:ind w:left="420" w:left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详细评审表</w:t>
      </w:r>
    </w:p>
    <w:p>
      <w:pPr>
        <w:bidi w:val="0"/>
        <w:rPr>
          <w:rFonts w:hint="eastAsia" w:ascii="宋体" w:hAnsi="宋体" w:eastAsia="宋体" w:cs="宋体"/>
          <w:color w:val="auto"/>
          <w:highlight w:val="none"/>
        </w:rPr>
      </w:pPr>
    </w:p>
    <w:tbl>
      <w:tblPr>
        <w:tblStyle w:val="16"/>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826"/>
        <w:gridCol w:w="7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239" w:type="dxa"/>
            <w:gridSpan w:val="3"/>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技术部分（80分）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分值范围</w:t>
            </w:r>
          </w:p>
        </w:tc>
        <w:tc>
          <w:tcPr>
            <w:tcW w:w="743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企业实力</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43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竞选人具有独立的备品备件仓库，得5分。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注：提供评委专家认可且能够证明该仓库为竞选人资产的相关证明材料及仓库照片。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专业技术力量</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43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1、拟投入专业技术人员：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具有《特种设备作业人员证》≥20人，得8分；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10人≥具有《特种设备作业人员证》＜20人，得5分；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5人≥具有《特种设备作业人员证》＜10人，得2分；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具有《特种设备作业人员证》＜5人，得0分；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2、拟投入项目组成员：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竞选人拟派项目组成员，每具有一个中级工程师证（机电或电气类）及以上的，得1分，最多2分；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注：（1）1+2项，满分10分。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（2）提供以上人员证书扫描件（须清晰可辨认）。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（3）以上人员必须是本单位人员，提供自开标之日起往前追溯一年内连续3个月的社保证明。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项目负责人业绩</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431" w:type="dxa"/>
          </w:tcPr>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1、项目负责人具有有效的《特种设备作业人员证》证书且发证日期至投标截止时间前，满5年及以上的，得5分。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2、项目负责人具有垂直电梯维护保养合同（保养数量：40台及以上）得5分。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注：（1）竞选文件中须提供项目负责人的业绩合同原件扫描件；业绩合同内未能体现项目负责人及未能体现电梯数量的，不得分。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（2）项目负责人必须是本单位人员，提供自开标之日起往前追溯一年内连续3个月的社保证明。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（3）项目负责人业绩与企业业绩不得为同一业绩。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企业维保业绩</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7431" w:type="dxa"/>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提供合同时需符合以下要求：</w:t>
            </w:r>
          </w:p>
          <w:p>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维保合同生效≥90天或失效＜90天（以投标截止日为准计算）。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1．单个合同20台以下的垂直电梯维护保养合同，每提供一个得4分。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2．单个合同20～30台的垂直电梯维护保养合同，每提供一个得5分。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3．单个合同31～40台的垂直电梯维护保养合同，每提供一个得7分。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单个合同41台及以上的垂直电梯维护保养合同，每提供一个得10分。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注：（1）可累计加分，满分20分。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（2）业绩证明材料须提供项目合同原件扫描件，合同内须能够体现出维保电梯数量，否则不得分。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维保服务方案</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743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1、有完善的管理制度、作业流程、时效要求、监督机制、信息反馈渠道及处理机制， 0-5分。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2、有比较完善的组织架构，专业工种上岗资质齐备，人员素质、技术能力、经验符舍招标要求，0-5分。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3、备件库及专业工具清单，备件库和专业工具项目数量衡量投标竞选人的服务水平，0-5分。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应急响应预案</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43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有完善的应急响应预案，对可能发生的相关紧急事件作出响应预案。对预案完整性、可行性，0-5分。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服务措施</w:t>
            </w:r>
          </w:p>
        </w:tc>
        <w:tc>
          <w:tcPr>
            <w:tcW w:w="8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431"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设置免费服务电话、固定服务电话、24小时应急响应电话的得5分；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不设置的不得分。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零配件承诺</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承诺免费提供电梯零配件：</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（1）免费提供单价100元及以下的，得3分。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（2）免费提供单价150元及以下的，得5分。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（3）免费提供单价200元及以下的，得10分。</w:t>
            </w:r>
          </w:p>
          <w:p>
            <w:pPr>
              <w:pStyle w:val="11"/>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注：提供承诺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2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商务（报价）部分20分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98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w:t>
            </w:r>
          </w:p>
        </w:tc>
        <w:tc>
          <w:tcPr>
            <w:tcW w:w="82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743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1.满足比选文件要求且投标价格最低的投标报价为评标基准价。</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分值计算公式为：投标报价得分=（评标基准价/投标报价）×价格权值（20%）×100，四舍五入保留两位小数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2.投标报价超过最高投标限价为无效报价。</w:t>
            </w:r>
          </w:p>
        </w:tc>
      </w:tr>
    </w:tbl>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竞选人提供的与竞选有关的各类证书、证明、文件、资料等的真实性、合法性由竞选人负全责，比选小组一律不负责进行核查确认。评审时比选小组发现竞选人存在弄虚作假嫌疑的，或者由其他竞选人和其他利害关系人投诉举报发现存在弄虚作假行为的，提请有关监督部门另行立案调查，评选工作正常进行；有关监督部门调查确认弄虚作假情况属实的，如果该竞选人已被确定为中选人的，由比选人依相关法律、法规规章的相关规定取消该竞选人中选资格。</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2.所有开标时需要提供的证明材料均指将原件的复印件制作到竞选文件中并加盖供公章，复印件需保证清晰易于辨认，若因为复印件不清晰影响比选小组评审的，其后果由竞选人自行承担。</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3．错误报价修正:</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3.1计算上的算术错误。修正错误的原则如下:</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(1)如果数字表示的金额和用文字表示的金额不一致时，以文字表示的金额为准;</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(2)如果单价与数量的乘积和总价不一致，以单价为准。当小数点有明显的错误时，比选小组将以总价为准，并修正其单价。   </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(3)竞选报价有算术错误的，评选小组按以下原则对投标报价进行修正，修正的价格经竞选人书面确认后具有约束力。竞选人不接受修正价格的，其投标作无效标处理。</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(4)竞选文件中的大写金额与小写金额不一致的，以大写金额为准。</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 报价关键漏（缺）项处理：</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小组对合格的竞选人的投标报价进行详细分析、核查，检查其是否存在关键漏（缺）报项，若存在关键漏（缺）报项，在评审时取其他有效竞选人的该项有效报价中的最高报价加入评审价进行评审，对多报项及赠送项的价格评审时不予核减报价进行评审。比选小组按照比选文件规定对竞选人报价进行调整修正，调整后的价格对竞选人具有约束力。如果竞选人不接受修正后的报价，则其报价将被拒绝，其竞选文件为无效竞选文件。</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3.3评审过程中，如果比选小组一致认定竞选人报价不合理的，可以要求竞选人提供合理说明，否则比选小组可以认定其报价无效。</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4．所有评委的平均分即为详细评审的最终得分，小数点后保留两位，第三位四舍五入。</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第一条 评委独立评审后，比选小组对竞选人某项指标如有不同意见，按照少数服从多数的原则，确定该项指标是否通过。符合初审指标及评审指标通过标准的，为有效投标。</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第二条 比选小组在评审过程中发现的问题，应当及时作出处理或者向比选人提出处理建议，并作书面记录。</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第三条 在评审过程中，比选小组发现竞选人的报价或者某些分项报价明显不合理或者低于成本，有可能影响商品质量和不能诚信履约的，应当要求其在规定的期限内提供文件予以解释说明，并提交相关证明材料；否则，比选小组可以取消该竞选人的中选资格，按顺序由排在后面的候选人递补，以此类推。 </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第四条 评审后，比选小组应制作评审报告。比选小组全体成员及监督员均须在评审报告上签字。</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第五条 评审报告应如实记录本次评审的主要过程，全面反映评审过程中的各种不同的意见，以及其他澄清、说明、补正事项。比选人根据比选小组的评审报告确定总得分排名第一的候选人为中选人。总得分排名第一的候选人放弃中选、因不可抗力提出不能履行合同，比选人将确定总得分排名第二的候选人为中选人，以此类推，比选人也可以重新招标。</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第六条 评审结果</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（一）中选人的确定</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1.竞选人实际得分为详细评审得分。</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2.技术标评审由全体比选小组成员综合评议并独立打分，取所有评委打分的平均分作为竞选人的得分；商务标评审由全体比选小组成员统计，全体比选小组成员签字确认。</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竞选人最终得分为比选小组各成员根据详细评审表评审出的平均分（最终得分均取小数点后两位，第三位小数四舍五入）。比选小组通过综合打分，评定出竞选人排名顺序（从高分到低分），总分最高的竞选人为中选人。</w:t>
      </w:r>
    </w:p>
    <w:p>
      <w:pPr>
        <w:pStyle w:val="5"/>
        <w:keepNext/>
        <w:keepLines/>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4.比选小组按照竞选人排名顺序，推荐排名第1的竞选人作为中选人。</w:t>
      </w:r>
    </w:p>
    <w:p>
      <w:pPr>
        <w:pStyle w:val="15"/>
        <w:rPr>
          <w:rFonts w:hint="eastAsia" w:ascii="宋体" w:hAnsi="宋体" w:eastAsia="宋体" w:cs="宋体"/>
          <w:color w:val="auto"/>
          <w:highlight w:val="none"/>
        </w:rPr>
        <w:sectPr>
          <w:pgSz w:w="11910" w:h="16850"/>
          <w:pgMar w:top="1440" w:right="1080" w:bottom="1440" w:left="1080" w:header="1001" w:footer="1128" w:gutter="0"/>
          <w:pgNumType w:fmt="decimal"/>
          <w:cols w:space="720" w:num="1"/>
        </w:sectPr>
      </w:pPr>
    </w:p>
    <w:p>
      <w:pPr>
        <w:widowControl/>
        <w:shd w:val="clear" w:color="auto" w:fill="FFFFFF"/>
        <w:spacing w:line="360" w:lineRule="auto"/>
        <w:jc w:val="center"/>
        <w:outlineLvl w:val="0"/>
        <w:rPr>
          <w:rFonts w:hint="eastAsia" w:ascii="宋体" w:hAnsi="宋体" w:eastAsia="宋体" w:cs="宋体"/>
          <w:b/>
          <w:bCs/>
          <w:color w:val="auto"/>
          <w:kern w:val="0"/>
          <w:sz w:val="28"/>
          <w:szCs w:val="28"/>
          <w:highlight w:val="none"/>
        </w:rPr>
      </w:pPr>
      <w:bookmarkStart w:id="25" w:name="_Toc8142"/>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章  合同格式</w:t>
      </w:r>
      <w:bookmarkEnd w:id="25"/>
    </w:p>
    <w:p>
      <w:pPr>
        <w:spacing w:line="360" w:lineRule="auto"/>
        <w:ind w:firstLine="642"/>
        <w:jc w:val="right"/>
        <w:rPr>
          <w:rFonts w:hint="eastAsia" w:ascii="宋体" w:hAnsi="宋体" w:eastAsia="宋体" w:cs="宋体"/>
          <w:b/>
          <w:bCs/>
          <w:color w:val="auto"/>
          <w:kern w:val="1"/>
          <w:sz w:val="32"/>
          <w:szCs w:val="32"/>
          <w:highlight w:val="none"/>
        </w:rPr>
      </w:pPr>
    </w:p>
    <w:p>
      <w:pPr>
        <w:widowControl/>
        <w:jc w:val="center"/>
        <w:rPr>
          <w:rFonts w:hint="eastAsia" w:ascii="宋体" w:hAnsi="宋体" w:eastAsia="宋体" w:cs="宋体"/>
          <w:color w:val="auto"/>
          <w:sz w:val="40"/>
          <w:szCs w:val="40"/>
          <w:highlight w:val="none"/>
        </w:rPr>
      </w:pPr>
      <w:r>
        <w:rPr>
          <w:rFonts w:hint="eastAsia" w:ascii="宋体" w:hAnsi="宋体" w:cs="宋体"/>
          <w:color w:val="auto"/>
          <w:sz w:val="44"/>
          <w:szCs w:val="44"/>
          <w:highlight w:val="none"/>
          <w:lang w:eastAsia="zh-CN"/>
        </w:rPr>
        <w:t>西城嘉园、益民阳光</w:t>
      </w:r>
      <w:r>
        <w:rPr>
          <w:rFonts w:hint="eastAsia" w:ascii="宋体" w:hAnsi="宋体" w:eastAsia="宋体" w:cs="宋体"/>
          <w:color w:val="auto"/>
          <w:sz w:val="44"/>
          <w:szCs w:val="44"/>
          <w:highlight w:val="none"/>
        </w:rPr>
        <w:t>电梯维保服务项目</w:t>
      </w:r>
      <w:r>
        <w:rPr>
          <w:rFonts w:hint="eastAsia" w:ascii="宋体" w:hAnsi="宋体" w:eastAsia="宋体" w:cs="宋体"/>
          <w:color w:val="auto"/>
          <w:sz w:val="40"/>
          <w:szCs w:val="40"/>
          <w:highlight w:val="none"/>
        </w:rPr>
        <w:t xml:space="preserve"> </w:t>
      </w:r>
    </w:p>
    <w:p>
      <w:pPr>
        <w:widowControl/>
        <w:jc w:val="center"/>
        <w:rPr>
          <w:rFonts w:hint="eastAsia" w:ascii="宋体" w:hAnsi="宋体" w:eastAsia="宋体" w:cs="宋体"/>
          <w:color w:val="auto"/>
          <w:sz w:val="44"/>
          <w:szCs w:val="44"/>
          <w:highlight w:val="none"/>
        </w:rPr>
      </w:pPr>
    </w:p>
    <w:p>
      <w:pPr>
        <w:widowControl/>
        <w:jc w:val="center"/>
        <w:rPr>
          <w:rFonts w:hint="eastAsia" w:ascii="宋体" w:hAnsi="宋体" w:eastAsia="宋体" w:cs="宋体"/>
          <w:color w:val="auto"/>
          <w:sz w:val="44"/>
          <w:szCs w:val="44"/>
          <w:highlight w:val="none"/>
        </w:rPr>
      </w:pPr>
    </w:p>
    <w:p>
      <w:pPr>
        <w:widowControl/>
        <w:spacing w:line="48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"http://www.30otis.com"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56"/>
          <w:szCs w:val="56"/>
          <w:highlight w:val="none"/>
        </w:rPr>
        <w:t>电</w:t>
      </w:r>
    </w:p>
    <w:p>
      <w:pPr>
        <w:bidi w:val="0"/>
        <w:rPr>
          <w:rFonts w:hint="eastAsia" w:ascii="宋体" w:hAnsi="宋体" w:eastAsia="宋体" w:cs="宋体"/>
          <w:color w:val="auto"/>
          <w:sz w:val="22"/>
          <w:szCs w:val="22"/>
          <w:highlight w:val="none"/>
        </w:rPr>
      </w:pPr>
    </w:p>
    <w:p>
      <w:pPr>
        <w:widowControl/>
        <w:spacing w:line="48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梯</w:t>
      </w:r>
      <w:r>
        <w:rPr>
          <w:rFonts w:hint="eastAsia" w:ascii="宋体" w:hAnsi="宋体" w:eastAsia="宋体" w:cs="宋体"/>
          <w:b/>
          <w:bCs/>
          <w:color w:val="auto"/>
          <w:sz w:val="56"/>
          <w:szCs w:val="56"/>
          <w:highlight w:val="none"/>
        </w:rPr>
        <w:fldChar w:fldCharType="end"/>
      </w:r>
    </w:p>
    <w:p>
      <w:pPr>
        <w:bidi w:val="0"/>
        <w:rPr>
          <w:rFonts w:hint="eastAsia" w:ascii="宋体" w:hAnsi="宋体" w:eastAsia="宋体" w:cs="宋体"/>
          <w:color w:val="auto"/>
          <w:sz w:val="22"/>
          <w:szCs w:val="22"/>
          <w:highlight w:val="none"/>
        </w:rPr>
      </w:pPr>
    </w:p>
    <w:p>
      <w:pPr>
        <w:widowControl/>
        <w:spacing w:line="48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维</w:t>
      </w:r>
    </w:p>
    <w:p>
      <w:pPr>
        <w:bidi w:val="0"/>
        <w:rPr>
          <w:rFonts w:hint="eastAsia" w:ascii="宋体" w:hAnsi="宋体" w:eastAsia="宋体" w:cs="宋体"/>
          <w:color w:val="auto"/>
          <w:sz w:val="22"/>
          <w:szCs w:val="22"/>
          <w:highlight w:val="none"/>
        </w:rPr>
      </w:pPr>
    </w:p>
    <w:p>
      <w:pPr>
        <w:widowControl/>
        <w:spacing w:line="48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保</w:t>
      </w:r>
    </w:p>
    <w:p>
      <w:pPr>
        <w:bidi w:val="0"/>
        <w:rPr>
          <w:rFonts w:hint="eastAsia" w:ascii="宋体" w:hAnsi="宋体" w:eastAsia="宋体" w:cs="宋体"/>
          <w:color w:val="auto"/>
          <w:sz w:val="22"/>
          <w:szCs w:val="22"/>
          <w:highlight w:val="none"/>
        </w:rPr>
      </w:pPr>
    </w:p>
    <w:p>
      <w:pPr>
        <w:widowControl/>
        <w:spacing w:line="48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合</w:t>
      </w:r>
    </w:p>
    <w:p>
      <w:pPr>
        <w:bidi w:val="0"/>
        <w:rPr>
          <w:rFonts w:hint="eastAsia" w:ascii="宋体" w:hAnsi="宋体" w:eastAsia="宋体" w:cs="宋体"/>
          <w:color w:val="auto"/>
          <w:sz w:val="22"/>
          <w:szCs w:val="22"/>
          <w:highlight w:val="none"/>
        </w:rPr>
      </w:pPr>
    </w:p>
    <w:p>
      <w:pPr>
        <w:widowControl/>
        <w:spacing w:line="48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同</w:t>
      </w:r>
    </w:p>
    <w:p>
      <w:pPr>
        <w:tabs>
          <w:tab w:val="left" w:pos="6604"/>
        </w:tabs>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ab/>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ind w:firstLine="1600" w:firstLine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签订日期：</w:t>
      </w:r>
    </w:p>
    <w:p>
      <w:pPr>
        <w:rPr>
          <w:rFonts w:hint="eastAsia" w:ascii="宋体" w:hAnsi="宋体" w:eastAsia="宋体" w:cs="宋体"/>
          <w:color w:val="auto"/>
          <w:sz w:val="44"/>
          <w:szCs w:val="44"/>
          <w:highlight w:val="none"/>
        </w:rPr>
      </w:pPr>
    </w:p>
    <w:p>
      <w:pPr>
        <w:widowControl/>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widowControl/>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   明</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1、本合同为示范文本，推荐合同双方自愿选择使用，合同双方可在不违法律、法规和有关安全技术规范规定的前提下，对本合同的条款进行协商修改。</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2、本合同所述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"http://www.30otis.com"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8"/>
          <w:szCs w:val="28"/>
          <w:highlight w:val="none"/>
        </w:rPr>
        <w:t>电梯</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包括乘客电梯、载货电梯、液压电梯、杂物电梯、自动扶梯与自动人行道。</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3、使用单位，即电梯使用管理者，是指具有电梯管理权利和义务的单位或个人。</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4、维保单位，是指取得相应电梯维护保养资质，在本地从事电梯维保活动的单位。</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5、日常维保，是指对电梯进行检查和清洁、润滑、调整、更换易损件等日常维护和保养性工作。（其中清洁、润滑不包括部件的解体，调整和更换易损件不应改变任何电梯性能参数。）</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6、保养时间，是指每次完成保养项目所需的现场工作时间；不包括在现场维保时，发现电梯存在问题时需要通过增加维保项目（内容）予以解决的时间。</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7、本合同不含电梯重大修理、改造项目，如需重大修理、改造，应另签合同或协议。（电梯的修理、重大修理、改造的定义详见：国务院特种设备安全监督管理部门关于电梯施工类别划分的规定）。</w:t>
      </w:r>
    </w:p>
    <w:p>
      <w:pP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bCs/>
          <w:color w:val="auto"/>
          <w:sz w:val="32"/>
          <w:szCs w:val="32"/>
          <w:highlight w:val="none"/>
        </w:rPr>
        <w:sectPr>
          <w:pgSz w:w="11906" w:h="16838"/>
          <w:pgMar w:top="1440" w:right="1080" w:bottom="1440" w:left="1080" w:header="851" w:footer="992" w:gutter="0"/>
          <w:pgNumType w:fmt="decimal"/>
          <w:cols w:space="425" w:num="1"/>
          <w:docGrid w:type="lines" w:linePitch="312" w:charSpace="0"/>
        </w:sect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电梯维保合同</w:t>
      </w:r>
    </w:p>
    <w:p>
      <w:pPr>
        <w:spacing w:line="360" w:lineRule="auto"/>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使用单位（甲方）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安徽惠群城市物业有限公司</w:t>
      </w: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维保单位（乙方）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rPr>
        <w:t xml:space="preserve">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安全生产，预防为主”的方针，保障电梯安全运行，防止事故发生，依照《中华人民共和国民法典》、《中华人民共和国特种设备安全法》、《特种设备安全监察条例》、《电梯使用管理与维护保养规则》（TSG T5001-2009）等规定，遵循平等、自愿、公平和诚实信用的原则，经甲乙双方协商订立本合同。</w:t>
      </w:r>
    </w:p>
    <w:p>
      <w:pPr>
        <w:spacing w:line="360" w:lineRule="auto"/>
        <w:ind w:left="1" w:firstLine="47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第一条  </w:t>
      </w:r>
      <w:r>
        <w:rPr>
          <w:rFonts w:hint="eastAsia" w:ascii="宋体" w:hAnsi="宋体" w:eastAsia="宋体" w:cs="宋体"/>
          <w:color w:val="auto"/>
          <w:sz w:val="24"/>
          <w:szCs w:val="24"/>
          <w:highlight w:val="none"/>
        </w:rPr>
        <w:t>乙方为本合同附件一《电梯保养时间和保养费明细表》及《电梯保养设备清单》中列明的电梯提供维保和紧急救援服务。保养项目应覆盖附件二《电梯定期保养周期及内容要求》及《电梯使用管理与维护保养规则》规定的半月、季度、半年、年度保养项目，电梯制造单位技术文件所要求的特殊保养项目，及与电梯安全运行相关的其他项目。</w:t>
      </w:r>
    </w:p>
    <w:p>
      <w:pPr>
        <w:spacing w:line="360" w:lineRule="auto"/>
        <w:ind w:left="1" w:firstLine="47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第二条  </w:t>
      </w:r>
      <w:r>
        <w:rPr>
          <w:rFonts w:hint="eastAsia" w:ascii="宋体" w:hAnsi="宋体" w:eastAsia="宋体" w:cs="宋体"/>
          <w:color w:val="auto"/>
          <w:sz w:val="24"/>
          <w:szCs w:val="24"/>
          <w:highlight w:val="none"/>
        </w:rPr>
        <w:t>乙方提供维保服务的方式：</w:t>
      </w:r>
    </w:p>
    <w:p>
      <w:pPr>
        <w:spacing w:line="360" w:lineRule="auto"/>
        <w:ind w:left="1" w:firstLine="5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清包：只提供维保所需工具和劳务，不提供任何免费电梯零部件；</w:t>
      </w:r>
    </w:p>
    <w:p>
      <w:pPr>
        <w:spacing w:line="360" w:lineRule="auto"/>
        <w:ind w:left="1" w:firstLine="537"/>
        <w:rPr>
          <w:rFonts w:hint="eastAsia" w:ascii="宋体" w:hAnsi="宋体" w:eastAsia="宋体" w:cs="宋体"/>
          <w:color w:val="auto"/>
          <w:sz w:val="24"/>
          <w:szCs w:val="24"/>
          <w:highlight w:val="none"/>
        </w:rPr>
      </w:pPr>
      <w:r>
        <w:rPr>
          <w:rFonts w:hint="eastAsia" w:ascii="宋体" w:hAnsi="宋体" w:eastAsia="宋体" w:cs="宋体"/>
          <w:b/>
          <w:bCs/>
          <w:color w:val="auto"/>
          <w:kern w:val="1"/>
          <w:sz w:val="24"/>
          <w:szCs w:val="24"/>
          <w:highlight w:val="none"/>
        </w:rPr>
        <w:t>☑</w:t>
      </w:r>
      <w:r>
        <w:rPr>
          <w:rFonts w:hint="eastAsia" w:ascii="宋体" w:hAnsi="宋体" w:eastAsia="宋体" w:cs="宋体"/>
          <w:color w:val="auto"/>
          <w:sz w:val="24"/>
          <w:szCs w:val="24"/>
          <w:highlight w:val="none"/>
        </w:rPr>
        <w:t>半包：提供维保所需工具和劳务，并免费提供单价在人民币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元以下电梯零部件；</w:t>
      </w:r>
    </w:p>
    <w:p>
      <w:pPr>
        <w:spacing w:line="360" w:lineRule="auto"/>
        <w:ind w:left="1"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□全包：提供维保所需工具和劳务，并免费提供全部电梯零部件。</w:t>
      </w:r>
    </w:p>
    <w:p>
      <w:pPr>
        <w:spacing w:line="360" w:lineRule="auto"/>
        <w:ind w:left="1" w:firstLine="47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服务方式为清包或半包的，乙方应提供本合同电梯设备保养和维修所需零部件的价格和人工费用明细表，经甲方确认后作为合同附件；全包的，应在本合同中列明哪些部件和维修工作的费用需甲方另行支付。</w:t>
      </w:r>
    </w:p>
    <w:p>
      <w:pPr>
        <w:spacing w:line="360" w:lineRule="auto"/>
        <w:ind w:left="1" w:firstLine="47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第三条  </w:t>
      </w:r>
      <w:r>
        <w:rPr>
          <w:rFonts w:hint="eastAsia" w:ascii="宋体" w:hAnsi="宋体" w:eastAsia="宋体" w:cs="宋体"/>
          <w:color w:val="auto"/>
          <w:sz w:val="24"/>
          <w:szCs w:val="24"/>
          <w:highlight w:val="none"/>
        </w:rPr>
        <w:t>维保期限</w:t>
      </w:r>
    </w:p>
    <w:p>
      <w:pPr>
        <w:spacing w:line="360" w:lineRule="auto"/>
        <w:ind w:left="1" w:firstLine="4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本合同约定维保期限自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日止，期限届满后续约的，应于期限届满前壹个月重新签订合同。 </w:t>
      </w:r>
    </w:p>
    <w:p>
      <w:pPr>
        <w:spacing w:line="360" w:lineRule="auto"/>
        <w:ind w:left="1" w:firstLine="47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第四条</w:t>
      </w:r>
      <w:r>
        <w:rPr>
          <w:rFonts w:hint="eastAsia" w:ascii="宋体" w:hAnsi="宋体" w:eastAsia="宋体" w:cs="宋体"/>
          <w:color w:val="auto"/>
          <w:sz w:val="24"/>
          <w:szCs w:val="24"/>
          <w:highlight w:val="none"/>
        </w:rPr>
        <w:t xml:space="preserve">  维保费用</w:t>
      </w:r>
    </w:p>
    <w:p>
      <w:pPr>
        <w:spacing w:line="360" w:lineRule="auto"/>
        <w:ind w:left="1" w:firstLine="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1、本合同内</w:t>
      </w:r>
      <w:r>
        <w:rPr>
          <w:rFonts w:hint="eastAsia" w:ascii="宋体" w:hAnsi="宋体" w:eastAsia="宋体" w:cs="宋体"/>
          <w:color w:val="auto"/>
          <w:sz w:val="24"/>
          <w:szCs w:val="24"/>
          <w:highlight w:val="none"/>
        </w:rPr>
        <w:t>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电梯</w:t>
      </w:r>
      <w:r>
        <w:rPr>
          <w:rFonts w:hint="eastAsia" w:ascii="宋体" w:hAnsi="宋体" w:eastAsia="宋体" w:cs="宋体"/>
          <w:color w:val="auto"/>
          <w:sz w:val="24"/>
          <w:szCs w:val="24"/>
          <w:highlight w:val="none"/>
          <w:lang w:eastAsia="zh-CN"/>
        </w:rPr>
        <w:t>。</w:t>
      </w:r>
    </w:p>
    <w:p>
      <w:pPr>
        <w:spacing w:line="360" w:lineRule="auto"/>
        <w:ind w:left="1"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2、合同期内维保费总计：人民币大写：         （小写：     元） </w:t>
      </w:r>
    </w:p>
    <w:p>
      <w:pPr>
        <w:spacing w:line="360" w:lineRule="auto"/>
        <w:ind w:left="1"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结算</w:t>
      </w:r>
    </w:p>
    <w:p>
      <w:pPr>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1、甲方按</w:t>
      </w:r>
      <w:r>
        <w:rPr>
          <w:rFonts w:hint="eastAsia" w:ascii="宋体" w:hAnsi="宋体" w:eastAsia="宋体" w:cs="宋体"/>
          <w:b/>
          <w:bCs/>
          <w:color w:val="auto"/>
          <w:sz w:val="24"/>
          <w:szCs w:val="24"/>
          <w:highlight w:val="none"/>
        </w:rPr>
        <w:t>（</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季 </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半年  </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年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支付维保费，具体支付时间和金额为：</w:t>
      </w:r>
      <w:r>
        <w:rPr>
          <w:rFonts w:hint="eastAsia" w:ascii="宋体" w:hAnsi="宋体" w:eastAsia="宋体" w:cs="宋体"/>
          <w:color w:val="auto"/>
          <w:sz w:val="24"/>
          <w:szCs w:val="24"/>
          <w:highlight w:val="none"/>
          <w:u w:val="none"/>
        </w:rPr>
        <w:t>每半年度末支付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维保费，甲方在收到乙方提供的增值税专用发票后支付维保费用。</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2、甲方需支付零部件费用的，按</w:t>
      </w:r>
      <w:r>
        <w:rPr>
          <w:rFonts w:hint="eastAsia" w:ascii="宋体" w:hAnsi="宋体" w:eastAsia="宋体" w:cs="宋体"/>
          <w:b/>
          <w:bCs/>
          <w:color w:val="auto"/>
          <w:sz w:val="24"/>
          <w:szCs w:val="24"/>
          <w:highlight w:val="none"/>
        </w:rPr>
        <w:t>（</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季  </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半年  </w:t>
      </w: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 xml:space="preserve">年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支付，支付时间为当次维保结束后，乙方提供增值税专用发票后的十个工作日之内。</w:t>
      </w:r>
    </w:p>
    <w:p>
      <w:pPr>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3、支付方式：</w:t>
      </w:r>
      <w:r>
        <w:rPr>
          <w:rFonts w:hint="eastAsia" w:ascii="宋体" w:hAnsi="宋体" w:eastAsia="宋体" w:cs="宋体"/>
          <w:color w:val="auto"/>
          <w:kern w:val="1"/>
          <w:sz w:val="24"/>
          <w:szCs w:val="24"/>
          <w:highlight w:val="none"/>
        </w:rPr>
        <w:t>□现金   □支票   ☑汇到乙方指定帐户</w:t>
      </w:r>
    </w:p>
    <w:p>
      <w:pPr>
        <w:spacing w:line="360" w:lineRule="auto"/>
        <w:ind w:firstLine="48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kern w:val="1"/>
          <w:sz w:val="24"/>
          <w:szCs w:val="24"/>
          <w:highlight w:val="none"/>
        </w:rPr>
        <w:t>第</w:t>
      </w:r>
      <w:r>
        <w:rPr>
          <w:rFonts w:hint="eastAsia" w:ascii="宋体" w:hAnsi="宋体" w:eastAsia="宋体" w:cs="宋体"/>
          <w:b/>
          <w:bCs/>
          <w:color w:val="auto"/>
          <w:sz w:val="24"/>
          <w:szCs w:val="24"/>
          <w:highlight w:val="none"/>
        </w:rPr>
        <w:t>六</w:t>
      </w:r>
      <w:r>
        <w:rPr>
          <w:rFonts w:hint="eastAsia" w:ascii="宋体" w:hAnsi="宋体" w:eastAsia="宋体" w:cs="宋体"/>
          <w:b/>
          <w:bCs/>
          <w:color w:val="auto"/>
          <w:kern w:val="1"/>
          <w:sz w:val="24"/>
          <w:szCs w:val="24"/>
          <w:highlight w:val="none"/>
        </w:rPr>
        <w:t xml:space="preserve">条  </w:t>
      </w:r>
      <w:r>
        <w:rPr>
          <w:rFonts w:hint="eastAsia" w:ascii="宋体" w:hAnsi="宋体" w:eastAsia="宋体" w:cs="宋体"/>
          <w:color w:val="auto"/>
          <w:kern w:val="1"/>
          <w:sz w:val="24"/>
          <w:szCs w:val="24"/>
          <w:highlight w:val="none"/>
        </w:rPr>
        <w:t>甲方权利、义务</w:t>
      </w:r>
    </w:p>
    <w:p>
      <w:pPr>
        <w:spacing w:line="360" w:lineRule="auto"/>
        <w:ind w:firstLine="361"/>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（一）权利</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1、有权监督检查乙方依照合同约定实施维保计划的情况，监督经乙方维保后的</w:t>
      </w:r>
      <w:r>
        <w:rPr>
          <w:rFonts w:hint="eastAsia" w:ascii="宋体" w:hAnsi="宋体" w:eastAsia="宋体" w:cs="宋体"/>
          <w:color w:val="auto"/>
          <w:sz w:val="24"/>
          <w:szCs w:val="24"/>
          <w:highlight w:val="none"/>
        </w:rPr>
        <w:t>电梯是否符合法律法规、安全技术规范、强制性标准和电梯制造单位的技术要求，电梯安全性能是否良好。</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3、除国家规定的法定监督检验与定期检验外，有权委托特种设备检验机构或第三方中介机构对乙方按照合同约定实施维保工作的情况进行评定。</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（二）义务</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1、建立电梯安全运行的相关管理机构、制度，确保制度、人员、资金落实到位。</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2、按照合同约定按期支付维保和零部件款。</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1"/>
          <w:sz w:val="24"/>
          <w:szCs w:val="24"/>
          <w:highlight w:val="none"/>
        </w:rPr>
        <w:t>配备持有电梯安全管理员资格证件的人员</w:t>
      </w:r>
      <w:r>
        <w:rPr>
          <w:rFonts w:hint="eastAsia" w:ascii="宋体" w:hAnsi="宋体" w:eastAsia="宋体" w:cs="宋体"/>
          <w:color w:val="auto"/>
          <w:sz w:val="24"/>
          <w:szCs w:val="24"/>
          <w:highlight w:val="none"/>
        </w:rPr>
        <w:t>负责电梯的日常安全管理工作，并在更换电梯管理人员时及时通知乙方。督促</w:t>
      </w:r>
      <w:r>
        <w:rPr>
          <w:rFonts w:hint="eastAsia" w:ascii="宋体" w:hAnsi="宋体" w:eastAsia="宋体" w:cs="宋体"/>
          <w:color w:val="auto"/>
          <w:kern w:val="1"/>
          <w:sz w:val="24"/>
          <w:szCs w:val="24"/>
          <w:highlight w:val="none"/>
        </w:rPr>
        <w:t>电梯安全管理人员</w:t>
      </w:r>
      <w:r>
        <w:rPr>
          <w:rFonts w:hint="eastAsia" w:ascii="宋体" w:hAnsi="宋体" w:eastAsia="宋体" w:cs="宋体"/>
          <w:color w:val="auto"/>
          <w:sz w:val="24"/>
          <w:szCs w:val="24"/>
          <w:highlight w:val="none"/>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4、督促</w:t>
      </w:r>
      <w:r>
        <w:rPr>
          <w:rFonts w:hint="eastAsia" w:ascii="宋体" w:hAnsi="宋体" w:eastAsia="宋体" w:cs="宋体"/>
          <w:color w:val="auto"/>
          <w:kern w:val="1"/>
          <w:sz w:val="24"/>
          <w:szCs w:val="24"/>
          <w:highlight w:val="none"/>
        </w:rPr>
        <w:t>电梯安全管理人员</w:t>
      </w:r>
      <w:r>
        <w:rPr>
          <w:rFonts w:hint="eastAsia" w:ascii="宋体" w:hAnsi="宋体" w:eastAsia="宋体" w:cs="宋体"/>
          <w:color w:val="auto"/>
          <w:sz w:val="24"/>
          <w:szCs w:val="24"/>
          <w:highlight w:val="none"/>
        </w:rPr>
        <w:t>现场监督检查乙方的电梯保养工作过程和工作结果、对乙方的维保记录、修理记录签字确认，</w:t>
      </w:r>
      <w:r>
        <w:rPr>
          <w:rFonts w:hint="eastAsia" w:ascii="宋体" w:hAnsi="宋体" w:eastAsia="宋体" w:cs="宋体"/>
          <w:color w:val="auto"/>
          <w:kern w:val="1"/>
          <w:sz w:val="24"/>
          <w:szCs w:val="24"/>
          <w:highlight w:val="none"/>
        </w:rPr>
        <w:t>签收乙方提交的与电梯维保工作有关的文件。</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w:t>
      </w:r>
      <w:r>
        <w:rPr>
          <w:rFonts w:hint="eastAsia" w:ascii="宋体" w:hAnsi="宋体" w:eastAsia="宋体" w:cs="宋体"/>
          <w:color w:val="auto"/>
          <w:sz w:val="24"/>
          <w:szCs w:val="24"/>
          <w:highlight w:val="none"/>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1"/>
          <w:sz w:val="24"/>
          <w:szCs w:val="24"/>
          <w:highlight w:val="none"/>
        </w:rPr>
        <w:t>制订有关电梯的应急救援预案（如：电梯困人、消防、电梯水浸、自动扶梯人身伤害等）。每年至少一次定期开展应急救援演练，确保应急系统运行有效。</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7、保证电梯供电、消防、防雷、通风等系统安全可靠，满足国家标准规定。</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kern w:val="1"/>
          <w:sz w:val="24"/>
          <w:szCs w:val="24"/>
          <w:highlight w:val="none"/>
        </w:rPr>
        <w:t>、采取有效措施监控电梯使用情况，积极主动开展文明乘梯宣传活动，及时制止乘客不文明乘梯行为或恶意破坏电梯的行为。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10、未经</w:t>
      </w:r>
      <w:r>
        <w:rPr>
          <w:rFonts w:hint="eastAsia" w:ascii="宋体" w:hAnsi="宋体" w:eastAsia="宋体" w:cs="宋体"/>
          <w:color w:val="auto"/>
          <w:sz w:val="24"/>
          <w:szCs w:val="24"/>
          <w:highlight w:val="none"/>
        </w:rPr>
        <w:t>乙方书面许可不得允许非乙方人员从事与电梯维保有关的工作。</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11、应认真审核乙方</w:t>
      </w:r>
      <w:r>
        <w:rPr>
          <w:rFonts w:hint="eastAsia" w:ascii="宋体" w:hAnsi="宋体" w:eastAsia="宋体" w:cs="宋体"/>
          <w:color w:val="auto"/>
          <w:sz w:val="24"/>
          <w:szCs w:val="24"/>
          <w:highlight w:val="none"/>
        </w:rPr>
        <w:t>书面提出的更换电梯零部件要求，并在乙方书面要求的期限内书面予以答复。</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12、电梯因不可抗拒因素（如战争、火灾、水浸、风暴和地震等）所造成设备损坏、丢失的，自行承担全部责任。</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xml:space="preserve">第七条  </w:t>
      </w:r>
      <w:r>
        <w:rPr>
          <w:rFonts w:hint="eastAsia" w:ascii="宋体" w:hAnsi="宋体" w:eastAsia="宋体" w:cs="宋体"/>
          <w:color w:val="auto"/>
          <w:kern w:val="1"/>
          <w:sz w:val="24"/>
          <w:szCs w:val="24"/>
          <w:highlight w:val="none"/>
        </w:rPr>
        <w:t>乙方权利、义务</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kern w:val="1"/>
          <w:sz w:val="24"/>
          <w:szCs w:val="24"/>
          <w:highlight w:val="none"/>
        </w:rPr>
        <w:t>权利</w:t>
      </w:r>
    </w:p>
    <w:p>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1、有权要求甲方提供维保所需的工作环境，查询电梯相关资料。</w:t>
      </w:r>
    </w:p>
    <w:p>
      <w:pPr>
        <w:spacing w:line="360" w:lineRule="auto"/>
        <w:ind w:left="840" w:hanging="84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2、当电梯存在事故隐患时，乙方有权采取停梯措施及阻止冒险作业的权利。</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3、有权拒绝甲方提出的影响电梯安全运行的要求。</w:t>
      </w:r>
    </w:p>
    <w:p>
      <w:pPr>
        <w:spacing w:line="360" w:lineRule="auto"/>
        <w:ind w:left="840" w:hanging="361"/>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（二）义务</w:t>
      </w:r>
    </w:p>
    <w:p>
      <w:pPr>
        <w:spacing w:line="360" w:lineRule="auto"/>
        <w:ind w:firstLine="54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r>
        <w:rPr>
          <w:rFonts w:hint="eastAsia" w:ascii="宋体" w:hAnsi="宋体" w:eastAsia="宋体" w:cs="宋体"/>
          <w:color w:val="auto"/>
          <w:sz w:val="24"/>
          <w:szCs w:val="24"/>
          <w:highlight w:val="none"/>
        </w:rPr>
        <w:t>乙方实施维保后的电梯应符合安全技术规范、强制性标准和电梯制造单位的技术要求。</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2、乙方提供24小时的紧急救援服务，</w:t>
      </w:r>
      <w:r>
        <w:rPr>
          <w:rFonts w:hint="eastAsia" w:ascii="宋体" w:hAnsi="宋体" w:eastAsia="宋体" w:cs="宋体"/>
          <w:color w:val="auto"/>
          <w:kern w:val="1"/>
          <w:sz w:val="24"/>
          <w:szCs w:val="24"/>
          <w:highlight w:val="none"/>
        </w:rPr>
        <w:t>乙方维保负责人:</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。联系电话:</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 24</w:t>
      </w:r>
      <w:r>
        <w:rPr>
          <w:rFonts w:hint="eastAsia" w:ascii="宋体" w:hAnsi="宋体" w:eastAsia="宋体" w:cs="宋体"/>
          <w:color w:val="auto"/>
          <w:sz w:val="24"/>
          <w:szCs w:val="24"/>
          <w:highlight w:val="none"/>
        </w:rPr>
        <w:t>小时紧急救援服务热线电话：</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sz w:val="24"/>
          <w:szCs w:val="24"/>
          <w:highlight w:val="none"/>
        </w:rPr>
        <w:t>。当电梯发生困人故障，乙方应在接到甲方通知后</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分钟内赶赴现场实施紧急救援；电梯发生其他故障，乙方应在接到甲方通知后</w:t>
      </w:r>
      <w:r>
        <w:rPr>
          <w:rFonts w:hint="eastAsia" w:ascii="宋体" w:hAnsi="宋体" w:eastAsia="宋体" w:cs="宋体"/>
          <w:color w:val="auto"/>
          <w:sz w:val="24"/>
          <w:szCs w:val="24"/>
          <w:highlight w:val="none"/>
          <w:u w:val="single"/>
        </w:rPr>
        <w:t xml:space="preserve"> 60 </w:t>
      </w:r>
      <w:r>
        <w:rPr>
          <w:rFonts w:hint="eastAsia" w:ascii="宋体" w:hAnsi="宋体" w:eastAsia="宋体" w:cs="宋体"/>
          <w:color w:val="auto"/>
          <w:sz w:val="24"/>
          <w:szCs w:val="24"/>
          <w:highlight w:val="none"/>
        </w:rPr>
        <w:t>分钟内赶到现场实施抢修。</w:t>
      </w:r>
    </w:p>
    <w:p>
      <w:pPr>
        <w:spacing w:line="360" w:lineRule="auto"/>
        <w:ind w:left="1" w:firstLine="48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1"/>
          <w:sz w:val="24"/>
          <w:szCs w:val="24"/>
          <w:highlight w:val="none"/>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宋体" w:hAnsi="宋体" w:eastAsia="宋体" w:cs="宋体"/>
          <w:color w:val="auto"/>
          <w:kern w:val="1"/>
          <w:sz w:val="24"/>
          <w:szCs w:val="24"/>
          <w:highlight w:val="none"/>
          <w:u w:val="single"/>
        </w:rPr>
        <w:t xml:space="preserve"> 15   </w:t>
      </w:r>
      <w:r>
        <w:rPr>
          <w:rFonts w:hint="eastAsia" w:ascii="宋体" w:hAnsi="宋体" w:eastAsia="宋体" w:cs="宋体"/>
          <w:color w:val="auto"/>
          <w:kern w:val="1"/>
          <w:sz w:val="24"/>
          <w:szCs w:val="24"/>
          <w:highlight w:val="none"/>
        </w:rPr>
        <w:t xml:space="preserve">日通知甲方并经甲方同意后方可调整，但应保证保养时间间隔不得超过15日； </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w:t>
      </w:r>
      <w:r>
        <w:rPr>
          <w:rFonts w:hint="eastAsia" w:ascii="宋体" w:hAnsi="宋体" w:eastAsia="宋体" w:cs="宋体"/>
          <w:color w:val="auto"/>
          <w:sz w:val="24"/>
          <w:szCs w:val="24"/>
          <w:highlight w:val="none"/>
        </w:rPr>
        <w:t>现场作业人员应当取得相应的《特种设备作业人员证》。</w:t>
      </w:r>
      <w:r>
        <w:rPr>
          <w:rFonts w:hint="eastAsia" w:ascii="宋体" w:hAnsi="宋体" w:eastAsia="宋体" w:cs="宋体"/>
          <w:color w:val="auto"/>
          <w:kern w:val="1"/>
          <w:sz w:val="24"/>
          <w:szCs w:val="24"/>
          <w:highlight w:val="none"/>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5、</w:t>
      </w:r>
      <w:r>
        <w:rPr>
          <w:rFonts w:hint="eastAsia" w:ascii="宋体" w:hAnsi="宋体" w:eastAsia="宋体" w:cs="宋体"/>
          <w:color w:val="auto"/>
          <w:sz w:val="24"/>
          <w:szCs w:val="24"/>
          <w:highlight w:val="none"/>
        </w:rPr>
        <w:t>作业过程中应服从甲方现场安全管理，落实现场安全防护措施，保证作业安全。需要安全监护作业的内容应书面告知甲方，作业时，作业人员不得少于二人。</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6、现场需采取停梯措施时，应立即通知甲方并及时组织抢修。</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kern w:val="1"/>
          <w:sz w:val="24"/>
          <w:szCs w:val="24"/>
          <w:highlight w:val="none"/>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8、协助甲方建立健全安全管理制度、安全技术档案、应急救援预案，配合甲方开展应急救援演练。</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9、不得以任何形式将维保工作非法分包、转包。</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10、在电梯使用标志所标注的下次检验日期届满前１个月，向特种设备检验机构提出定期检验申请。</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11、乙方有责任保障电梯五方对讲的正常使用。</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12、做好维修基金维修配合工作，并参与验收完成移交。</w:t>
      </w:r>
    </w:p>
    <w:p>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13、乙方维保人员需按甲方要求使用甲方的企业管理软件对每次维保、维修进行工作记录的录入。</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xml:space="preserve">第八条  </w:t>
      </w:r>
      <w:r>
        <w:rPr>
          <w:rFonts w:hint="eastAsia" w:ascii="宋体" w:hAnsi="宋体" w:eastAsia="宋体" w:cs="宋体"/>
          <w:color w:val="auto"/>
          <w:kern w:val="1"/>
          <w:sz w:val="24"/>
          <w:szCs w:val="24"/>
          <w:highlight w:val="none"/>
        </w:rPr>
        <w:t>其他约定</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1、乙方已于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日对本合同约定的电梯进行了详细的检查，检查结果已经甲方签字确认，并作为电梯现状记录由甲、乙双方保存。</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1"/>
          <w:sz w:val="24"/>
          <w:szCs w:val="24"/>
          <w:highlight w:val="none"/>
        </w:rPr>
        <w:t>甲方要求乙方提供本合同约定内容以外服务的，如强化保养、增加保养频次、安全保障需求、</w:t>
      </w:r>
      <w:r>
        <w:rPr>
          <w:rFonts w:hint="eastAsia" w:ascii="宋体" w:hAnsi="宋体" w:eastAsia="宋体" w:cs="宋体"/>
          <w:color w:val="auto"/>
          <w:sz w:val="24"/>
          <w:szCs w:val="24"/>
          <w:highlight w:val="none"/>
        </w:rPr>
        <w:t>驻场作业服务、</w:t>
      </w:r>
      <w:r>
        <w:rPr>
          <w:rFonts w:hint="eastAsia" w:ascii="宋体" w:hAnsi="宋体" w:eastAsia="宋体" w:cs="宋体"/>
          <w:color w:val="auto"/>
          <w:kern w:val="1"/>
          <w:sz w:val="24"/>
          <w:szCs w:val="24"/>
          <w:highlight w:val="none"/>
        </w:rPr>
        <w:t>增加检测内容和频次</w:t>
      </w:r>
      <w:r>
        <w:rPr>
          <w:rFonts w:hint="eastAsia" w:ascii="宋体" w:hAnsi="宋体" w:eastAsia="宋体" w:cs="宋体"/>
          <w:color w:val="auto"/>
          <w:sz w:val="24"/>
          <w:szCs w:val="24"/>
          <w:highlight w:val="none"/>
        </w:rPr>
        <w:t>等，</w:t>
      </w:r>
      <w:r>
        <w:rPr>
          <w:rFonts w:hint="eastAsia" w:ascii="宋体" w:hAnsi="宋体" w:eastAsia="宋体" w:cs="宋体"/>
          <w:color w:val="auto"/>
          <w:kern w:val="1"/>
          <w:sz w:val="24"/>
          <w:szCs w:val="24"/>
          <w:highlight w:val="none"/>
        </w:rPr>
        <w:t>双方均应以书面形式另行约定。</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1"/>
          <w:sz w:val="24"/>
          <w:szCs w:val="24"/>
          <w:highlight w:val="none"/>
        </w:rPr>
        <w:t>维保记录是记载电梯运行、维护、保养的依据。每台电梯均应当建立独立的</w:t>
      </w:r>
      <w:r>
        <w:rPr>
          <w:rFonts w:hint="eastAsia" w:ascii="宋体" w:hAnsi="宋体" w:eastAsia="宋体" w:cs="宋体"/>
          <w:color w:val="auto"/>
          <w:sz w:val="24"/>
          <w:szCs w:val="24"/>
          <w:highlight w:val="none"/>
        </w:rPr>
        <w:t>维保记录。维保记录应当一式两份，甲乙双方各保存一份，保存时间为4 年。维修与抢修记录均应当长期保存。</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4、根据电梯的现状，甲乙双方约定非使用原因导致的电梯困人故障次数每月每台电梯不超过</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次。</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5、电梯出现故障时，一般不需采购配件时当日修复；需采购配件时确保3个工作日修复；对于甲方自行采购的配件，乙方将免费提供安装及调试。</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xml:space="preserve">第九条  </w:t>
      </w:r>
      <w:r>
        <w:rPr>
          <w:rFonts w:hint="eastAsia" w:ascii="宋体" w:hAnsi="宋体" w:eastAsia="宋体" w:cs="宋体"/>
          <w:color w:val="auto"/>
          <w:kern w:val="1"/>
          <w:sz w:val="24"/>
          <w:szCs w:val="24"/>
          <w:highlight w:val="none"/>
        </w:rPr>
        <w:t>违约责任</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1、一方当事人未按约定履行义务给对方造成直接损失的，应当承担相应责任。</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2、一方当事人无法继续履行合同，应当及对方，并承担因合同解除而给对方造成的直接经济损失。</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3、甲方无正当理由未按照约定期限支付费用的，经双方确认为无正当理由每延误一日应当向乙方支付延误部分费用</w:t>
      </w:r>
      <w:r>
        <w:rPr>
          <w:rFonts w:hint="eastAsia" w:ascii="宋体" w:hAnsi="宋体" w:eastAsia="宋体" w:cs="宋体"/>
          <w:color w:val="auto"/>
          <w:kern w:val="1"/>
          <w:sz w:val="24"/>
          <w:szCs w:val="24"/>
          <w:highlight w:val="none"/>
          <w:u w:val="single"/>
        </w:rPr>
        <w:t xml:space="preserve">  1‰  </w:t>
      </w:r>
      <w:r>
        <w:rPr>
          <w:rFonts w:hint="eastAsia" w:ascii="宋体" w:hAnsi="宋体" w:eastAsia="宋体" w:cs="宋体"/>
          <w:color w:val="auto"/>
          <w:kern w:val="1"/>
          <w:sz w:val="24"/>
          <w:szCs w:val="24"/>
          <w:highlight w:val="none"/>
        </w:rPr>
        <w:t>的违约金。超过双方约定的</w:t>
      </w:r>
      <w:r>
        <w:rPr>
          <w:rFonts w:hint="eastAsia" w:ascii="宋体" w:hAnsi="宋体" w:eastAsia="宋体" w:cs="宋体"/>
          <w:color w:val="auto"/>
          <w:kern w:val="1"/>
          <w:sz w:val="24"/>
          <w:szCs w:val="24"/>
          <w:highlight w:val="none"/>
          <w:u w:val="single"/>
        </w:rPr>
        <w:t xml:space="preserve"> 30  </w:t>
      </w:r>
      <w:r>
        <w:rPr>
          <w:rFonts w:hint="eastAsia" w:ascii="宋体" w:hAnsi="宋体" w:eastAsia="宋体" w:cs="宋体"/>
          <w:color w:val="auto"/>
          <w:kern w:val="1"/>
          <w:sz w:val="24"/>
          <w:szCs w:val="24"/>
          <w:highlight w:val="none"/>
        </w:rPr>
        <w:t>日时，本合同自动终止，赔偿依照合同法规定执行。</w:t>
      </w:r>
    </w:p>
    <w:p>
      <w:pPr>
        <w:spacing w:line="360" w:lineRule="auto"/>
        <w:ind w:right="34" w:firstLine="480"/>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4、甲方违反约定</w:t>
      </w:r>
      <w:r>
        <w:rPr>
          <w:rFonts w:hint="eastAsia" w:ascii="宋体" w:hAnsi="宋体" w:eastAsia="宋体" w:cs="宋体"/>
          <w:color w:val="auto"/>
          <w:sz w:val="24"/>
          <w:szCs w:val="24"/>
          <w:highlight w:val="none"/>
        </w:rPr>
        <w:t>允许非乙方人员从事电梯维保工作的，应当按照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1"/>
          <w:sz w:val="24"/>
          <w:szCs w:val="24"/>
          <w:highlight w:val="none"/>
          <w:u w:val="single"/>
        </w:rPr>
        <w:t xml:space="preserve"> 1‰  </w:t>
      </w:r>
      <w:r>
        <w:rPr>
          <w:rFonts w:hint="eastAsia" w:ascii="宋体" w:hAnsi="宋体" w:eastAsia="宋体" w:cs="宋体"/>
          <w:color w:val="auto"/>
          <w:kern w:val="1"/>
          <w:sz w:val="24"/>
          <w:szCs w:val="24"/>
          <w:highlight w:val="none"/>
        </w:rPr>
        <w:t>标准支付违约金。</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5、除维保工作不到位外，因电梯使用管理原因导致人身伤亡或设备损坏、零部件丢失的，由甲方自行承担全部责任。</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6、若未按乙方的书面要求期限同意更换应该更换的电梯零部件而导致电梯故障或存在安全隐患的，</w:t>
      </w:r>
      <w:r>
        <w:rPr>
          <w:rFonts w:hint="eastAsia" w:ascii="宋体" w:hAnsi="宋体" w:eastAsia="宋体" w:cs="宋体"/>
          <w:color w:val="auto"/>
          <w:kern w:val="1"/>
          <w:sz w:val="24"/>
          <w:szCs w:val="24"/>
          <w:highlight w:val="none"/>
        </w:rPr>
        <w:t>由甲方</w:t>
      </w:r>
      <w:r>
        <w:rPr>
          <w:rFonts w:hint="eastAsia" w:ascii="宋体" w:hAnsi="宋体" w:eastAsia="宋体" w:cs="宋体"/>
          <w:color w:val="auto"/>
          <w:sz w:val="24"/>
          <w:szCs w:val="24"/>
          <w:highlight w:val="none"/>
        </w:rPr>
        <w:t>自行承担责任。</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7、乙方违反约定，</w:t>
      </w:r>
      <w:r>
        <w:rPr>
          <w:rFonts w:hint="eastAsia" w:ascii="宋体" w:hAnsi="宋体" w:eastAsia="宋体" w:cs="宋体"/>
          <w:color w:val="auto"/>
          <w:sz w:val="24"/>
          <w:szCs w:val="24"/>
          <w:highlight w:val="none"/>
        </w:rPr>
        <w:t>作业过程中未服从甲方现场安全管理落实现场安全防护措施，或需要安全监护的作业时作业人员只有一人，或保养时间不足，甲方可拒付当次作业或保养的当台当月保养费。</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8、乙方维保工作不符合合同约定的维保标准或要求的，乙方应当返工，并按照</w:t>
      </w:r>
      <w:r>
        <w:rPr>
          <w:rFonts w:hint="eastAsia" w:ascii="宋体" w:hAnsi="宋体" w:eastAsia="宋体" w:cs="宋体"/>
          <w:color w:val="auto"/>
          <w:kern w:val="1"/>
          <w:sz w:val="24"/>
          <w:szCs w:val="24"/>
          <w:highlight w:val="none"/>
          <w:u w:val="single"/>
        </w:rPr>
        <w:t>月维保费用的1‰</w:t>
      </w:r>
      <w:r>
        <w:rPr>
          <w:rFonts w:hint="eastAsia" w:ascii="宋体" w:hAnsi="宋体" w:eastAsia="宋体" w:cs="宋体"/>
          <w:color w:val="auto"/>
          <w:kern w:val="1"/>
          <w:sz w:val="24"/>
          <w:szCs w:val="24"/>
          <w:highlight w:val="none"/>
        </w:rPr>
        <w:t>标准支付违约金。</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9、在电梯维保作业过程中因维保原因导致人身伤亡或设备损坏、零部件丢失的，由乙方承担全部民事责任。</w:t>
      </w:r>
    </w:p>
    <w:p>
      <w:pPr>
        <w:spacing w:line="360" w:lineRule="auto"/>
        <w:ind w:firstLine="480"/>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rPr>
        <w:t>10、因维保原因导致电梯检验不合格的，由乙方承担电梯复检费用及其他所有费用</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xml:space="preserve">第十条  </w:t>
      </w:r>
      <w:r>
        <w:rPr>
          <w:rFonts w:hint="eastAsia" w:ascii="宋体" w:hAnsi="宋体" w:eastAsia="宋体" w:cs="宋体"/>
          <w:color w:val="auto"/>
          <w:kern w:val="1"/>
          <w:sz w:val="24"/>
          <w:szCs w:val="24"/>
          <w:highlight w:val="none"/>
        </w:rPr>
        <w:t>合同的解除</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（一）甲乙双方协商一致，可以解除合同。</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（二）任何一方违约导致合同无法继续履行的，另一方可以解除合同。</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xml:space="preserve">第十一条  </w:t>
      </w:r>
      <w:r>
        <w:rPr>
          <w:rFonts w:hint="eastAsia" w:ascii="宋体" w:hAnsi="宋体" w:eastAsia="宋体" w:cs="宋体"/>
          <w:color w:val="auto"/>
          <w:kern w:val="1"/>
          <w:sz w:val="24"/>
          <w:szCs w:val="24"/>
          <w:highlight w:val="none"/>
        </w:rPr>
        <w:t>争议解决方式</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本合同在履行过程中发生的争议，由双方当事人协商解决或向有关部门申请调解，协商、调解不成的，按照下列第</w:t>
      </w:r>
      <w:r>
        <w:rPr>
          <w:rFonts w:hint="eastAsia" w:ascii="宋体" w:hAnsi="宋体" w:eastAsia="宋体" w:cs="宋体"/>
          <w:color w:val="auto"/>
          <w:kern w:val="1"/>
          <w:sz w:val="24"/>
          <w:szCs w:val="24"/>
          <w:highlight w:val="none"/>
          <w:u w:val="single"/>
        </w:rPr>
        <w:t xml:space="preserve">  1  </w:t>
      </w:r>
      <w:r>
        <w:rPr>
          <w:rFonts w:hint="eastAsia" w:ascii="宋体" w:hAnsi="宋体" w:eastAsia="宋体" w:cs="宋体"/>
          <w:color w:val="auto"/>
          <w:kern w:val="1"/>
          <w:sz w:val="24"/>
          <w:szCs w:val="24"/>
          <w:highlight w:val="none"/>
        </w:rPr>
        <w:t>种方式解决（任选一种）：</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（一）依法向</w:t>
      </w:r>
      <w:r>
        <w:rPr>
          <w:rFonts w:hint="eastAsia" w:ascii="宋体" w:hAnsi="宋体" w:eastAsia="宋体" w:cs="宋体"/>
          <w:color w:val="auto"/>
          <w:kern w:val="1"/>
          <w:sz w:val="24"/>
          <w:szCs w:val="24"/>
          <w:highlight w:val="none"/>
          <w:u w:val="single"/>
        </w:rPr>
        <w:t xml:space="preserve"> 有管辖权的 </w:t>
      </w:r>
      <w:r>
        <w:rPr>
          <w:rFonts w:hint="eastAsia" w:ascii="宋体" w:hAnsi="宋体" w:eastAsia="宋体" w:cs="宋体"/>
          <w:color w:val="auto"/>
          <w:kern w:val="1"/>
          <w:sz w:val="24"/>
          <w:szCs w:val="24"/>
          <w:highlight w:val="none"/>
        </w:rPr>
        <w:t>人民法院起诉；</w:t>
      </w:r>
    </w:p>
    <w:p>
      <w:pPr>
        <w:spacing w:line="360" w:lineRule="auto"/>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（二）提交 </w:t>
      </w:r>
      <w:r>
        <w:rPr>
          <w:rFonts w:hint="eastAsia" w:ascii="宋体" w:hAnsi="宋体" w:eastAsia="宋体" w:cs="宋体"/>
          <w:color w:val="auto"/>
          <w:kern w:val="1"/>
          <w:sz w:val="24"/>
          <w:szCs w:val="24"/>
          <w:highlight w:val="none"/>
          <w:u w:val="single"/>
        </w:rPr>
        <w:t xml:space="preserve">  淮南 </w:t>
      </w:r>
      <w:r>
        <w:rPr>
          <w:rFonts w:hint="eastAsia" w:ascii="宋体" w:hAnsi="宋体" w:eastAsia="宋体" w:cs="宋体"/>
          <w:color w:val="auto"/>
          <w:kern w:val="1"/>
          <w:sz w:val="24"/>
          <w:szCs w:val="24"/>
          <w:highlight w:val="none"/>
        </w:rPr>
        <w:t>仲裁委员会仲裁。</w:t>
      </w:r>
    </w:p>
    <w:p>
      <w:pPr>
        <w:spacing w:line="360" w:lineRule="auto"/>
        <w:ind w:firstLine="482"/>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xml:space="preserve">第十二条 </w:t>
      </w:r>
      <w:r>
        <w:rPr>
          <w:rFonts w:hint="eastAsia" w:ascii="宋体" w:hAnsi="宋体" w:eastAsia="宋体" w:cs="宋体"/>
          <w:color w:val="auto"/>
          <w:kern w:val="1"/>
          <w:sz w:val="24"/>
          <w:szCs w:val="24"/>
          <w:highlight w:val="none"/>
        </w:rPr>
        <w:t xml:space="preserve"> 附则</w:t>
      </w:r>
    </w:p>
    <w:p>
      <w:pPr>
        <w:spacing w:line="360" w:lineRule="auto"/>
        <w:ind w:left="1" w:firstLine="477"/>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rPr>
        <w:t>本合同生效后，双方对合同内容的变更或补充应采取书面形式，并经双方签字确认，作为本合同的附件。附件与本合同具有同等的法律效力。</w:t>
      </w:r>
    </w:p>
    <w:p>
      <w:pPr>
        <w:spacing w:line="360" w:lineRule="auto"/>
        <w:ind w:firstLine="600"/>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rPr>
        <w:t>本合同一式</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u w:val="single"/>
          <w:lang w:val="en-US" w:eastAsia="zh-CN"/>
        </w:rPr>
        <w:t>6</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份，甲方执</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u w:val="single"/>
          <w:lang w:val="en-US" w:eastAsia="zh-CN"/>
        </w:rPr>
        <w:t>4</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份，乙方执</w:t>
      </w:r>
      <w:r>
        <w:rPr>
          <w:rFonts w:hint="eastAsia" w:ascii="宋体" w:hAnsi="宋体" w:eastAsia="宋体" w:cs="宋体"/>
          <w:color w:val="auto"/>
          <w:kern w:val="1"/>
          <w:sz w:val="24"/>
          <w:szCs w:val="24"/>
          <w:highlight w:val="none"/>
          <w:u w:val="single"/>
        </w:rPr>
        <w:t xml:space="preserve">  2 </w:t>
      </w:r>
      <w:r>
        <w:rPr>
          <w:rFonts w:hint="eastAsia" w:ascii="宋体" w:hAnsi="宋体" w:eastAsia="宋体" w:cs="宋体"/>
          <w:color w:val="auto"/>
          <w:kern w:val="1"/>
          <w:sz w:val="24"/>
          <w:szCs w:val="24"/>
          <w:highlight w:val="none"/>
        </w:rPr>
        <w:t>份。</w:t>
      </w:r>
    </w:p>
    <w:p>
      <w:pPr>
        <w:spacing w:line="360" w:lineRule="auto"/>
        <w:rPr>
          <w:rFonts w:hint="eastAsia" w:ascii="宋体" w:hAnsi="宋体" w:eastAsia="宋体" w:cs="宋体"/>
          <w:b/>
          <w:bCs/>
          <w:color w:val="auto"/>
          <w:kern w:val="1"/>
          <w:sz w:val="24"/>
          <w:szCs w:val="24"/>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 xml:space="preserve">：(公章或合同专用章)              </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乙</w:t>
      </w:r>
      <w:r>
        <w:rPr>
          <w:rFonts w:hint="eastAsia" w:ascii="宋体" w:hAnsi="宋体" w:eastAsia="宋体" w:cs="宋体"/>
          <w:color w:val="auto"/>
          <w:highlight w:val="none"/>
          <w:lang w:val="en-US" w:eastAsia="zh-CN"/>
        </w:rPr>
        <w:t>方</w:t>
      </w:r>
      <w:r>
        <w:rPr>
          <w:rFonts w:hint="eastAsia" w:ascii="宋体" w:hAnsi="宋体" w:eastAsia="宋体" w:cs="宋体"/>
          <w:color w:val="auto"/>
          <w:highlight w:val="none"/>
        </w:rPr>
        <w:t>：(公章或合同专用章)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法定代表人或其委托代理人：</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（签字）                                  （签字）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组织机构代码：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组织机构代码：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 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lang w:val="en-US" w:eastAsia="zh-CN"/>
        </w:rPr>
      </w:pPr>
    </w:p>
    <w:p>
      <w:pPr>
        <w:spacing w:line="360" w:lineRule="auto"/>
        <w:rPr>
          <w:rFonts w:hint="eastAsia" w:ascii="宋体" w:hAnsi="宋体" w:eastAsia="宋体" w:cs="宋体"/>
          <w:color w:val="auto"/>
          <w:kern w:val="1"/>
          <w:sz w:val="24"/>
          <w:szCs w:val="24"/>
          <w:highlight w:val="none"/>
        </w:rPr>
      </w:pPr>
    </w:p>
    <w:p>
      <w:pPr>
        <w:spacing w:line="500" w:lineRule="exact"/>
        <w:rPr>
          <w:rFonts w:hint="eastAsia" w:ascii="宋体" w:hAnsi="宋体" w:eastAsia="宋体" w:cs="宋体"/>
          <w:b/>
          <w:bCs/>
          <w:color w:val="auto"/>
          <w:sz w:val="24"/>
          <w:szCs w:val="24"/>
          <w:highlight w:val="none"/>
        </w:rPr>
        <w:sectPr>
          <w:pgSz w:w="11906" w:h="16838"/>
          <w:pgMar w:top="1440" w:right="1080" w:bottom="1440" w:left="1080" w:header="851" w:footer="992" w:gutter="0"/>
          <w:pgNumType w:fmt="decimal"/>
          <w:cols w:space="425" w:num="1"/>
          <w:docGrid w:type="lines" w:linePitch="312" w:charSpace="0"/>
        </w:sect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《电梯保养设备清单》</w:t>
      </w:r>
    </w:p>
    <w:p>
      <w:pPr>
        <w:spacing w:line="500" w:lineRule="exact"/>
        <w:rPr>
          <w:rFonts w:hint="eastAsia" w:ascii="宋体" w:hAnsi="宋体" w:eastAsia="宋体" w:cs="宋体"/>
          <w:b/>
          <w:bCs/>
          <w:color w:val="auto"/>
          <w:sz w:val="24"/>
          <w:szCs w:val="24"/>
          <w:highlight w:val="none"/>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154"/>
        <w:gridCol w:w="3238"/>
        <w:gridCol w:w="1423"/>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序号</w:t>
            </w:r>
          </w:p>
        </w:tc>
        <w:tc>
          <w:tcPr>
            <w:tcW w:w="158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地址</w:t>
            </w:r>
          </w:p>
        </w:tc>
        <w:tc>
          <w:tcPr>
            <w:tcW w:w="1625"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设备代码</w:t>
            </w:r>
          </w:p>
        </w:tc>
        <w:tc>
          <w:tcPr>
            <w:tcW w:w="714"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制造单位</w:t>
            </w:r>
          </w:p>
        </w:tc>
        <w:tc>
          <w:tcPr>
            <w:tcW w:w="6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层站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1</w:t>
            </w: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2</w:t>
            </w: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3</w:t>
            </w: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444" w:type="pct"/>
            <w:vAlign w:val="center"/>
          </w:tcPr>
          <w:p>
            <w:pPr>
              <w:jc w:val="center"/>
              <w:rPr>
                <w:rFonts w:hint="eastAsia" w:ascii="宋体" w:hAnsi="宋体" w:eastAsia="宋体" w:cs="宋体"/>
                <w:color w:val="auto"/>
                <w:highlight w:val="none"/>
              </w:rPr>
            </w:pPr>
          </w:p>
        </w:tc>
        <w:tc>
          <w:tcPr>
            <w:tcW w:w="1583" w:type="pct"/>
            <w:vAlign w:val="center"/>
          </w:tcPr>
          <w:p>
            <w:pPr>
              <w:jc w:val="center"/>
              <w:rPr>
                <w:rFonts w:hint="eastAsia" w:ascii="宋体" w:hAnsi="宋体" w:eastAsia="宋体" w:cs="宋体"/>
                <w:color w:val="auto"/>
                <w:highlight w:val="none"/>
              </w:rPr>
            </w:pPr>
          </w:p>
        </w:tc>
        <w:tc>
          <w:tcPr>
            <w:tcW w:w="1625" w:type="pct"/>
            <w:vAlign w:val="center"/>
          </w:tcPr>
          <w:p>
            <w:pPr>
              <w:jc w:val="center"/>
              <w:rPr>
                <w:rFonts w:hint="eastAsia" w:ascii="宋体" w:hAnsi="宋体" w:eastAsia="宋体" w:cs="宋体"/>
                <w:color w:val="auto"/>
                <w:highlight w:val="none"/>
              </w:rPr>
            </w:pPr>
          </w:p>
        </w:tc>
        <w:tc>
          <w:tcPr>
            <w:tcW w:w="714" w:type="pct"/>
            <w:vAlign w:val="center"/>
          </w:tcPr>
          <w:p>
            <w:pPr>
              <w:jc w:val="center"/>
              <w:rPr>
                <w:rFonts w:hint="eastAsia" w:ascii="宋体" w:hAnsi="宋体" w:eastAsia="宋体" w:cs="宋体"/>
                <w:color w:val="auto"/>
                <w:sz w:val="24"/>
                <w:szCs w:val="24"/>
                <w:highlight w:val="none"/>
              </w:rPr>
            </w:pPr>
          </w:p>
        </w:tc>
        <w:tc>
          <w:tcPr>
            <w:tcW w:w="632" w:type="pct"/>
            <w:vAlign w:val="center"/>
          </w:tcPr>
          <w:p>
            <w:pPr>
              <w:jc w:val="center"/>
              <w:rPr>
                <w:rFonts w:hint="eastAsia" w:ascii="宋体" w:hAnsi="宋体" w:eastAsia="宋体" w:cs="宋体"/>
                <w:color w:val="auto"/>
                <w:highlight w:val="none"/>
              </w:rPr>
            </w:pPr>
          </w:p>
        </w:tc>
      </w:tr>
    </w:tbl>
    <w:p>
      <w:pPr>
        <w:adjustRightInd w:val="0"/>
        <w:snapToGrid w:val="0"/>
        <w:spacing w:line="360" w:lineRule="auto"/>
        <w:rPr>
          <w:rFonts w:hint="eastAsia" w:ascii="宋体" w:hAnsi="宋体" w:eastAsia="宋体" w:cs="宋体"/>
          <w:b/>
          <w:bCs/>
          <w:color w:val="auto"/>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《电梯定期保养周期及内容要求》</w:t>
      </w:r>
    </w:p>
    <w:p>
      <w:pPr>
        <w:pStyle w:val="15"/>
        <w:ind w:left="31680" w:firstLine="31680"/>
        <w:rPr>
          <w:rFonts w:hint="eastAsia" w:ascii="宋体" w:hAnsi="宋体" w:eastAsia="宋体" w:cs="宋体"/>
          <w:color w:val="auto"/>
          <w:highlight w:val="none"/>
        </w:rPr>
        <w:sectPr>
          <w:pgSz w:w="11906" w:h="16838"/>
          <w:pgMar w:top="1440" w:right="1080" w:bottom="1440" w:left="1080" w:header="851" w:footer="992" w:gutter="0"/>
          <w:pgNumType w:fmt="decimal"/>
          <w:cols w:space="425" w:num="1"/>
          <w:docGrid w:type="lines" w:linePitch="312" w:charSpace="0"/>
        </w:sectPr>
      </w:pPr>
    </w:p>
    <w:p>
      <w:pPr>
        <w:pStyle w:val="15"/>
        <w:ind w:left="489" w:leftChars="233" w:firstLine="0" w:firstLineChars="0"/>
        <w:jc w:val="center"/>
        <w:outlineLvl w:val="0"/>
        <w:rPr>
          <w:rFonts w:hint="eastAsia" w:ascii="宋体" w:hAnsi="宋体" w:eastAsia="宋体" w:cs="宋体"/>
          <w:color w:val="auto"/>
          <w:sz w:val="32"/>
          <w:szCs w:val="32"/>
          <w:highlight w:val="none"/>
        </w:rPr>
      </w:pPr>
      <w:bookmarkStart w:id="26" w:name="_Toc447787765"/>
      <w:bookmarkStart w:id="27" w:name="_Toc7204"/>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 xml:space="preserve">章 </w:t>
      </w:r>
      <w:r>
        <w:rPr>
          <w:rFonts w:hint="eastAsia" w:ascii="宋体" w:hAnsi="宋体" w:eastAsia="宋体" w:cs="宋体"/>
          <w:color w:val="auto"/>
          <w:sz w:val="32"/>
          <w:szCs w:val="32"/>
          <w:highlight w:val="none"/>
          <w:lang w:eastAsia="zh-CN"/>
        </w:rPr>
        <w:t>竞选文件</w:t>
      </w:r>
      <w:r>
        <w:rPr>
          <w:rFonts w:hint="eastAsia" w:ascii="宋体" w:hAnsi="宋体" w:eastAsia="宋体" w:cs="宋体"/>
          <w:color w:val="auto"/>
          <w:sz w:val="32"/>
          <w:szCs w:val="32"/>
          <w:highlight w:val="none"/>
        </w:rPr>
        <w:t>格式</w:t>
      </w:r>
      <w:bookmarkEnd w:id="26"/>
      <w:bookmarkEnd w:id="27"/>
    </w:p>
    <w:p>
      <w:pPr>
        <w:spacing w:line="360" w:lineRule="auto"/>
        <w:jc w:val="center"/>
        <w:rPr>
          <w:rFonts w:hint="eastAsia" w:ascii="宋体" w:hAnsi="宋体" w:eastAsia="宋体" w:cs="宋体"/>
          <w:color w:val="auto"/>
          <w:sz w:val="24"/>
          <w:szCs w:val="24"/>
          <w:highlight w:val="none"/>
        </w:rPr>
      </w:pPr>
    </w:p>
    <w:p>
      <w:pPr>
        <w:spacing w:line="432" w:lineRule="auto"/>
        <w:jc w:val="center"/>
        <w:rPr>
          <w:rFonts w:hint="eastAsia" w:ascii="宋体" w:hAnsi="宋体" w:eastAsia="宋体" w:cs="宋体"/>
          <w:b/>
          <w:bCs/>
          <w:color w:val="auto"/>
          <w:sz w:val="28"/>
          <w:szCs w:val="28"/>
          <w:highlight w:val="none"/>
        </w:rPr>
      </w:pPr>
      <w:r>
        <w:rPr>
          <w:rFonts w:hint="eastAsia" w:ascii="宋体" w:hAnsi="宋体" w:cs="宋体"/>
          <w:color w:val="auto"/>
          <w:sz w:val="40"/>
          <w:szCs w:val="40"/>
          <w:highlight w:val="none"/>
          <w:lang w:eastAsia="zh-CN"/>
        </w:rPr>
        <w:t>西城嘉园、益民阳光</w:t>
      </w:r>
      <w:r>
        <w:rPr>
          <w:rFonts w:hint="eastAsia" w:ascii="宋体" w:hAnsi="宋体" w:eastAsia="宋体" w:cs="宋体"/>
          <w:color w:val="auto"/>
          <w:sz w:val="40"/>
          <w:szCs w:val="40"/>
          <w:highlight w:val="none"/>
        </w:rPr>
        <w:t>电梯维保服务项目</w:t>
      </w:r>
    </w:p>
    <w:p>
      <w:pPr>
        <w:jc w:val="center"/>
        <w:rPr>
          <w:rFonts w:hint="eastAsia" w:ascii="宋体" w:hAnsi="宋体" w:eastAsia="宋体" w:cs="宋体"/>
          <w:b/>
          <w:bCs/>
          <w:snapToGrid w:val="0"/>
          <w:color w:val="auto"/>
          <w:sz w:val="62"/>
          <w:szCs w:val="62"/>
          <w:highlight w:val="none"/>
        </w:rPr>
      </w:pPr>
    </w:p>
    <w:p>
      <w:pPr>
        <w:jc w:val="both"/>
        <w:rPr>
          <w:rFonts w:hint="eastAsia" w:ascii="宋体" w:hAnsi="宋体" w:eastAsia="宋体" w:cs="宋体"/>
          <w:b/>
          <w:bCs/>
          <w:snapToGrid w:val="0"/>
          <w:color w:val="auto"/>
          <w:sz w:val="62"/>
          <w:szCs w:val="62"/>
          <w:highlight w:val="none"/>
        </w:rPr>
      </w:pPr>
    </w:p>
    <w:p>
      <w:pPr>
        <w:jc w:val="center"/>
        <w:rPr>
          <w:rFonts w:hint="eastAsia" w:ascii="宋体" w:hAnsi="宋体" w:eastAsia="宋体" w:cs="宋体"/>
          <w:b/>
          <w:bCs/>
          <w:snapToGrid w:val="0"/>
          <w:color w:val="auto"/>
          <w:sz w:val="90"/>
          <w:szCs w:val="90"/>
          <w:highlight w:val="none"/>
        </w:rPr>
      </w:pPr>
      <w:r>
        <w:rPr>
          <w:rFonts w:hint="eastAsia" w:ascii="宋体" w:hAnsi="宋体" w:eastAsia="宋体" w:cs="宋体"/>
          <w:b/>
          <w:bCs/>
          <w:snapToGrid w:val="0"/>
          <w:color w:val="auto"/>
          <w:sz w:val="72"/>
          <w:szCs w:val="72"/>
          <w:highlight w:val="none"/>
          <w:lang w:val="en-US" w:eastAsia="zh-CN"/>
        </w:rPr>
        <w:t xml:space="preserve">竞 选 </w:t>
      </w:r>
      <w:r>
        <w:rPr>
          <w:rFonts w:hint="eastAsia" w:ascii="宋体" w:hAnsi="宋体" w:eastAsia="宋体" w:cs="宋体"/>
          <w:b/>
          <w:bCs/>
          <w:snapToGrid w:val="0"/>
          <w:color w:val="auto"/>
          <w:sz w:val="72"/>
          <w:szCs w:val="72"/>
          <w:highlight w:val="none"/>
        </w:rPr>
        <w:t>文 件</w:t>
      </w:r>
      <w:r>
        <w:rPr>
          <w:rFonts w:hint="eastAsia" w:ascii="宋体" w:hAnsi="宋体" w:eastAsia="宋体" w:cs="宋体"/>
          <w:b/>
          <w:bCs/>
          <w:snapToGrid w:val="0"/>
          <w:color w:val="auto"/>
          <w:sz w:val="90"/>
          <w:szCs w:val="90"/>
          <w:highlight w:val="none"/>
        </w:rPr>
        <w:t xml:space="preserve"> </w:t>
      </w:r>
    </w:p>
    <w:p>
      <w:pPr>
        <w:spacing w:line="400" w:lineRule="exact"/>
        <w:jc w:val="center"/>
        <w:rPr>
          <w:rFonts w:hint="eastAsia" w:ascii="宋体" w:hAnsi="宋体" w:eastAsia="宋体" w:cs="宋体"/>
          <w:b/>
          <w:bCs/>
          <w:color w:val="auto"/>
          <w:sz w:val="32"/>
          <w:szCs w:val="32"/>
          <w:highlight w:val="none"/>
        </w:rPr>
      </w:pPr>
    </w:p>
    <w:p>
      <w:pPr>
        <w:spacing w:line="400" w:lineRule="exact"/>
        <w:jc w:val="center"/>
        <w:rPr>
          <w:rFonts w:hint="eastAsia" w:ascii="宋体" w:hAnsi="宋体" w:eastAsia="宋体" w:cs="宋体"/>
          <w:b w:val="0"/>
          <w:bCs w:val="0"/>
          <w:color w:val="auto"/>
          <w:sz w:val="32"/>
          <w:szCs w:val="32"/>
          <w:highlight w:val="none"/>
        </w:rPr>
      </w:pPr>
    </w:p>
    <w:p>
      <w:pPr>
        <w:spacing w:line="400" w:lineRule="exact"/>
        <w:jc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项目编号</w:t>
      </w:r>
      <w:r>
        <w:rPr>
          <w:rFonts w:hint="eastAsia" w:ascii="宋体" w:hAnsi="宋体" w:eastAsia="宋体" w:cs="宋体"/>
          <w:b w:val="0"/>
          <w:bCs w:val="0"/>
          <w:color w:val="auto"/>
          <w:sz w:val="32"/>
          <w:szCs w:val="32"/>
          <w:highlight w:val="none"/>
          <w:lang w:eastAsia="zh-CN"/>
        </w:rPr>
        <w:t>：</w:t>
      </w:r>
    </w:p>
    <w:p>
      <w:pPr>
        <w:spacing w:line="288" w:lineRule="auto"/>
        <w:jc w:val="center"/>
        <w:rPr>
          <w:rFonts w:hint="eastAsia" w:ascii="宋体" w:hAnsi="宋体" w:eastAsia="宋体" w:cs="宋体"/>
          <w:b/>
          <w:bCs/>
          <w:color w:val="auto"/>
          <w:sz w:val="84"/>
          <w:szCs w:val="84"/>
          <w:highlight w:val="none"/>
        </w:rPr>
      </w:pPr>
    </w:p>
    <w:p>
      <w:pPr>
        <w:pStyle w:val="15"/>
        <w:ind w:left="31680" w:firstLine="31680"/>
        <w:rPr>
          <w:rFonts w:hint="eastAsia" w:ascii="宋体" w:hAnsi="宋体" w:eastAsia="宋体" w:cs="宋体"/>
          <w:b/>
          <w:bCs/>
          <w:color w:val="auto"/>
          <w:sz w:val="84"/>
          <w:szCs w:val="84"/>
          <w:highlight w:val="none"/>
        </w:rPr>
      </w:pPr>
    </w:p>
    <w:p>
      <w:pPr>
        <w:rPr>
          <w:rFonts w:hint="eastAsia" w:ascii="宋体" w:hAnsi="宋体" w:eastAsia="宋体" w:cs="宋体"/>
          <w:color w:val="auto"/>
          <w:highlight w:val="none"/>
        </w:rPr>
      </w:pPr>
    </w:p>
    <w:p>
      <w:pPr>
        <w:rPr>
          <w:rFonts w:hint="eastAsia" w:ascii="宋体" w:hAnsi="宋体" w:eastAsia="宋体" w:cs="宋体"/>
          <w:b w:val="0"/>
          <w:bCs w:val="0"/>
          <w:color w:val="auto"/>
          <w:sz w:val="30"/>
          <w:szCs w:val="30"/>
          <w:highlight w:val="none"/>
        </w:rPr>
      </w:pPr>
    </w:p>
    <w:p>
      <w:pPr>
        <w:spacing w:line="460" w:lineRule="exact"/>
        <w:ind w:firstLine="1800" w:firstLineChars="6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竞选人</w:t>
      </w:r>
      <w:r>
        <w:rPr>
          <w:rFonts w:hint="eastAsia" w:ascii="宋体" w:hAnsi="宋体" w:eastAsia="宋体" w:cs="宋体"/>
          <w:b w:val="0"/>
          <w:bCs w:val="0"/>
          <w:color w:val="auto"/>
          <w:sz w:val="30"/>
          <w:szCs w:val="30"/>
          <w:highlight w:val="none"/>
        </w:rPr>
        <w:t>：（盖单位章）</w:t>
      </w:r>
    </w:p>
    <w:p>
      <w:pPr>
        <w:spacing w:line="460" w:lineRule="exact"/>
        <w:ind w:firstLine="915" w:firstLineChars="305"/>
        <w:rPr>
          <w:rFonts w:hint="eastAsia" w:ascii="宋体" w:hAnsi="宋体" w:eastAsia="宋体" w:cs="宋体"/>
          <w:b w:val="0"/>
          <w:bCs w:val="0"/>
          <w:color w:val="auto"/>
          <w:sz w:val="30"/>
          <w:szCs w:val="30"/>
          <w:highlight w:val="none"/>
          <w:u w:val="single"/>
        </w:rPr>
      </w:pPr>
    </w:p>
    <w:p>
      <w:pPr>
        <w:spacing w:line="460" w:lineRule="exact"/>
        <w:ind w:firstLine="1800" w:firstLineChars="600"/>
        <w:rPr>
          <w:rFonts w:hint="eastAsia" w:ascii="宋体" w:hAnsi="宋体" w:eastAsia="宋体" w:cs="宋体"/>
          <w:b w:val="0"/>
          <w:bCs w:val="0"/>
          <w:color w:val="auto"/>
          <w:sz w:val="30"/>
          <w:szCs w:val="30"/>
          <w:highlight w:val="none"/>
          <w:u w:val="single"/>
        </w:rPr>
      </w:pPr>
      <w:r>
        <w:rPr>
          <w:rFonts w:hint="eastAsia" w:ascii="宋体" w:hAnsi="宋体" w:eastAsia="宋体" w:cs="宋体"/>
          <w:b w:val="0"/>
          <w:bCs w:val="0"/>
          <w:color w:val="auto"/>
          <w:sz w:val="30"/>
          <w:szCs w:val="30"/>
          <w:highlight w:val="none"/>
        </w:rPr>
        <w:t>法定代表人或其委托代理人：（签字或盖章）</w:t>
      </w:r>
    </w:p>
    <w:p>
      <w:pPr>
        <w:spacing w:line="460" w:lineRule="exact"/>
        <w:rPr>
          <w:rFonts w:hint="eastAsia" w:ascii="宋体" w:hAnsi="宋体" w:eastAsia="宋体" w:cs="宋体"/>
          <w:b w:val="0"/>
          <w:bCs w:val="0"/>
          <w:color w:val="auto"/>
          <w:sz w:val="30"/>
          <w:szCs w:val="30"/>
          <w:highlight w:val="none"/>
        </w:rPr>
      </w:pPr>
    </w:p>
    <w:p>
      <w:pPr>
        <w:spacing w:line="460" w:lineRule="exact"/>
        <w:ind w:firstLine="435"/>
        <w:rPr>
          <w:rFonts w:hint="eastAsia" w:ascii="宋体" w:hAnsi="宋体" w:eastAsia="宋体" w:cs="宋体"/>
          <w:b w:val="0"/>
          <w:bCs w:val="0"/>
          <w:color w:val="auto"/>
          <w:sz w:val="24"/>
          <w:szCs w:val="24"/>
          <w:highlight w:val="none"/>
        </w:rPr>
      </w:pPr>
    </w:p>
    <w:p>
      <w:pPr>
        <w:spacing w:line="460" w:lineRule="exact"/>
        <w:ind w:firstLine="435"/>
        <w:jc w:val="center"/>
        <w:rPr>
          <w:rFonts w:hint="eastAsia" w:ascii="宋体" w:hAnsi="宋体" w:eastAsia="宋体" w:cs="宋体"/>
          <w:b w:val="0"/>
          <w:bCs w:val="0"/>
          <w:color w:val="auto"/>
          <w:sz w:val="32"/>
          <w:szCs w:val="32"/>
          <w:highlight w:val="none"/>
        </w:rPr>
        <w:sectPr>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b w:val="0"/>
          <w:bCs w:val="0"/>
          <w:color w:val="auto"/>
          <w:sz w:val="32"/>
          <w:szCs w:val="32"/>
          <w:highlight w:val="none"/>
          <w:lang w:val="en-US" w:eastAsia="zh-CN"/>
        </w:rPr>
        <w:t>202</w:t>
      </w:r>
      <w:r>
        <w:rPr>
          <w:rFonts w:hint="eastAsia" w:ascii="宋体" w:hAnsi="宋体" w:cs="宋体"/>
          <w:b w:val="0"/>
          <w:bCs w:val="0"/>
          <w:color w:val="auto"/>
          <w:sz w:val="32"/>
          <w:szCs w:val="32"/>
          <w:highlight w:val="none"/>
          <w:lang w:val="en-US" w:eastAsia="zh-CN"/>
        </w:rPr>
        <w:t>4</w:t>
      </w:r>
      <w:r>
        <w:rPr>
          <w:rFonts w:hint="eastAsia" w:ascii="宋体" w:hAnsi="宋体" w:eastAsia="宋体" w:cs="宋体"/>
          <w:b w:val="0"/>
          <w:bCs w:val="0"/>
          <w:color w:val="auto"/>
          <w:sz w:val="32"/>
          <w:szCs w:val="32"/>
          <w:highlight w:val="none"/>
        </w:rPr>
        <w:t>年 月  日</w:t>
      </w:r>
    </w:p>
    <w:p>
      <w:pPr>
        <w:pStyle w:val="3"/>
        <w:spacing w:line="432" w:lineRule="auto"/>
        <w:jc w:val="center"/>
        <w:outlineLvl w:val="0"/>
        <w:rPr>
          <w:rFonts w:hint="eastAsia" w:ascii="宋体" w:hAnsi="宋体" w:eastAsia="宋体" w:cs="宋体"/>
          <w:b/>
          <w:bCs/>
          <w:color w:val="auto"/>
          <w:sz w:val="28"/>
          <w:szCs w:val="28"/>
          <w:highlight w:val="none"/>
        </w:rPr>
      </w:pPr>
      <w:bookmarkStart w:id="28" w:name="_Toc29017"/>
      <w:bookmarkStart w:id="29" w:name="_Toc640"/>
      <w:bookmarkStart w:id="30" w:name="_Toc3107"/>
      <w:r>
        <w:rPr>
          <w:rFonts w:hint="eastAsia" w:ascii="宋体" w:hAnsi="宋体" w:eastAsia="宋体" w:cs="宋体"/>
          <w:b/>
          <w:bCs/>
          <w:color w:val="auto"/>
          <w:sz w:val="28"/>
          <w:szCs w:val="28"/>
          <w:highlight w:val="none"/>
        </w:rPr>
        <w:t>一、开标一览表格式</w:t>
      </w:r>
      <w:bookmarkEnd w:id="28"/>
      <w:bookmarkEnd w:id="29"/>
      <w:bookmarkEnd w:id="30"/>
    </w:p>
    <w:tbl>
      <w:tblPr>
        <w:tblStyle w:val="16"/>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1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bookmarkStart w:id="31" w:name="_Hlt533408390"/>
            <w:r>
              <w:rPr>
                <w:rFonts w:hint="eastAsia" w:ascii="宋体" w:hAnsi="宋体" w:eastAsia="宋体" w:cs="宋体"/>
                <w:b/>
                <w:color w:val="auto"/>
                <w:sz w:val="24"/>
                <w:szCs w:val="24"/>
                <w:highlight w:val="none"/>
              </w:rPr>
              <w:t>项 目 名 称</w:t>
            </w:r>
          </w:p>
        </w:tc>
        <w:tc>
          <w:tcPr>
            <w:tcW w:w="6826"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13" w:type="dxa"/>
            <w:tcBorders>
              <w:top w:val="nil"/>
            </w:tcBorders>
            <w:vAlign w:val="center"/>
          </w:tcPr>
          <w:p>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竞选人</w:t>
            </w:r>
            <w:r>
              <w:rPr>
                <w:rFonts w:hint="eastAsia" w:ascii="宋体" w:hAnsi="宋体" w:eastAsia="宋体" w:cs="宋体"/>
                <w:b/>
                <w:color w:val="auto"/>
                <w:sz w:val="24"/>
                <w:szCs w:val="24"/>
                <w:highlight w:val="none"/>
              </w:rPr>
              <w:t>全称</w:t>
            </w:r>
          </w:p>
        </w:tc>
        <w:tc>
          <w:tcPr>
            <w:tcW w:w="6826" w:type="dxa"/>
            <w:tcBorders>
              <w:top w:val="nil"/>
            </w:tcBorders>
            <w:vAlign w:val="center"/>
          </w:tcPr>
          <w:p>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color w:val="auto"/>
                <w:sz w:val="24"/>
                <w:szCs w:val="24"/>
                <w:highlight w:val="none"/>
              </w:rPr>
            </w:pP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报价（单价）</w:t>
            </w:r>
          </w:p>
        </w:tc>
        <w:tc>
          <w:tcPr>
            <w:tcW w:w="6826" w:type="dxa"/>
            <w:vAlign w:val="center"/>
          </w:tcPr>
          <w:p>
            <w:pPr>
              <w:keepNext w:val="0"/>
              <w:keepLines w:val="0"/>
              <w:pageBreakBefore w:val="0"/>
              <w:widowControl/>
              <w:kinsoku/>
              <w:wordWrap/>
              <w:overflowPunct/>
              <w:topLinePunct w:val="0"/>
              <w:autoSpaceDE/>
              <w:autoSpaceDN/>
              <w:bidi w:val="0"/>
              <w:adjustRightInd w:val="0"/>
              <w:snapToGrid w:val="0"/>
              <w:spacing w:line="432" w:lineRule="auto"/>
              <w:ind w:right="-6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/部/年</w:t>
            </w: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/部/年</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总价</w:t>
            </w:r>
          </w:p>
        </w:tc>
        <w:tc>
          <w:tcPr>
            <w:tcW w:w="6826" w:type="dxa"/>
            <w:vAlign w:val="center"/>
          </w:tcPr>
          <w:p>
            <w:pPr>
              <w:keepNext w:val="0"/>
              <w:keepLines w:val="0"/>
              <w:pageBreakBefore w:val="0"/>
              <w:widowControl/>
              <w:kinsoku/>
              <w:wordWrap/>
              <w:overflowPunct/>
              <w:topLinePunct w:val="0"/>
              <w:autoSpaceDE/>
              <w:autoSpaceDN/>
              <w:bidi w:val="0"/>
              <w:adjustRightInd w:val="0"/>
              <w:snapToGrid w:val="0"/>
              <w:spacing w:line="432" w:lineRule="auto"/>
              <w:ind w:right="-6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b/>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服务期限</w:t>
            </w:r>
          </w:p>
        </w:tc>
        <w:tc>
          <w:tcPr>
            <w:tcW w:w="6826" w:type="dxa"/>
            <w:vAlign w:val="center"/>
          </w:tcPr>
          <w:p>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竞选有效期</w:t>
            </w:r>
          </w:p>
        </w:tc>
        <w:tc>
          <w:tcPr>
            <w:tcW w:w="6826" w:type="dxa"/>
            <w:vAlign w:val="center"/>
          </w:tcPr>
          <w:p>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313" w:type="dxa"/>
            <w:vAlign w:val="center"/>
          </w:tcPr>
          <w:p>
            <w:pPr>
              <w:spacing w:line="43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6826" w:type="dxa"/>
            <w:vAlign w:val="center"/>
          </w:tcPr>
          <w:p>
            <w:pPr>
              <w:spacing w:line="432" w:lineRule="auto"/>
              <w:rPr>
                <w:rFonts w:hint="eastAsia" w:ascii="宋体" w:hAnsi="宋体" w:eastAsia="宋体" w:cs="宋体"/>
                <w:b/>
                <w:color w:val="auto"/>
                <w:sz w:val="24"/>
                <w:szCs w:val="24"/>
                <w:highlight w:val="none"/>
              </w:rPr>
            </w:pPr>
          </w:p>
        </w:tc>
      </w:tr>
    </w:tbl>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pPr>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竞选人</w:t>
      </w:r>
      <w:r>
        <w:rPr>
          <w:rFonts w:hint="eastAsia" w:ascii="宋体" w:hAnsi="宋体" w:eastAsia="宋体" w:cs="宋体"/>
          <w:b/>
          <w:color w:val="auto"/>
          <w:sz w:val="24"/>
          <w:szCs w:val="24"/>
          <w:highlight w:val="none"/>
        </w:rPr>
        <w:t>盖章：</w:t>
      </w:r>
    </w:p>
    <w:p>
      <w:pPr>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法定代表人或委托代理人</w:t>
      </w:r>
      <w:r>
        <w:rPr>
          <w:rFonts w:hint="eastAsia" w:ascii="宋体" w:hAnsi="宋体" w:eastAsia="宋体" w:cs="宋体"/>
          <w:b/>
          <w:color w:val="auto"/>
          <w:sz w:val="24"/>
          <w:szCs w:val="24"/>
          <w:highlight w:val="none"/>
        </w:rPr>
        <w:t>签字：</w:t>
      </w:r>
    </w:p>
    <w:p>
      <w:pPr>
        <w:jc w:val="right"/>
        <w:rPr>
          <w:rFonts w:hint="eastAsia" w:ascii="宋体" w:hAnsi="宋体" w:eastAsia="宋体" w:cs="宋体"/>
          <w:b/>
          <w:color w:val="auto"/>
          <w:sz w:val="24"/>
          <w:szCs w:val="24"/>
          <w:highlight w:val="none"/>
        </w:rPr>
      </w:pPr>
    </w:p>
    <w:p>
      <w:pPr>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年    月   日</w:t>
      </w: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竞选人</w:t>
      </w:r>
      <w:r>
        <w:rPr>
          <w:rFonts w:hint="eastAsia" w:ascii="宋体" w:hAnsi="宋体" w:eastAsia="宋体" w:cs="宋体"/>
          <w:color w:val="auto"/>
          <w:sz w:val="22"/>
          <w:szCs w:val="22"/>
          <w:highlight w:val="none"/>
        </w:rPr>
        <w:t>报价以人民币为结算货币，须包括免费提供的零配件费用、税费等所有相关费用。</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20" w:lineRule="exact"/>
        <w:jc w:val="center"/>
        <w:outlineLvl w:val="1"/>
        <w:rPr>
          <w:rFonts w:hint="eastAsia" w:ascii="宋体" w:hAnsi="宋体" w:eastAsia="宋体" w:cs="宋体"/>
          <w:color w:val="auto"/>
          <w:sz w:val="28"/>
          <w:szCs w:val="28"/>
          <w:highlight w:val="none"/>
        </w:rPr>
      </w:pPr>
      <w:bookmarkStart w:id="32" w:name="_Toc466549694"/>
      <w:bookmarkStart w:id="33" w:name="_Toc517872613"/>
      <w:r>
        <w:rPr>
          <w:rFonts w:hint="eastAsia" w:ascii="宋体" w:hAnsi="宋体" w:eastAsia="宋体" w:cs="宋体"/>
          <w:b/>
          <w:bCs/>
          <w:color w:val="auto"/>
          <w:sz w:val="28"/>
          <w:szCs w:val="28"/>
          <w:highlight w:val="none"/>
        </w:rPr>
        <w:t>二、报价函格式</w:t>
      </w:r>
      <w:bookmarkEnd w:id="32"/>
      <w:bookmarkEnd w:id="33"/>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名称）</w:t>
      </w:r>
    </w:p>
    <w:p>
      <w:pPr>
        <w:spacing w:line="360" w:lineRule="auto"/>
        <w:ind w:firstLine="645"/>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rPr>
        <w:t>1、按</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规定提供</w:t>
      </w:r>
      <w:r>
        <w:rPr>
          <w:rFonts w:hint="eastAsia" w:ascii="宋体" w:hAnsi="宋体" w:eastAsia="宋体" w:cs="宋体"/>
          <w:color w:val="auto"/>
          <w:sz w:val="24"/>
          <w:szCs w:val="24"/>
          <w:highlight w:val="none"/>
          <w:lang w:val="en-US" w:eastAsia="zh-CN"/>
        </w:rPr>
        <w:t>比选人所需的服务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投标报价为人民币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元/部/年；竞选报价为</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2、我单位已认真研究了</w:t>
      </w:r>
      <w:r>
        <w:rPr>
          <w:rFonts w:hint="eastAsia" w:ascii="宋体" w:hAnsi="宋体" w:eastAsia="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的全部内容，我单位完全响应</w:t>
      </w:r>
      <w:r>
        <w:rPr>
          <w:rFonts w:hint="eastAsia" w:ascii="宋体" w:hAnsi="宋体" w:eastAsia="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、我方提供24小时的紧急救援服务。当电梯发生困人故障，我方承诺应在接到甲方通知后</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分钟内赶赴现场实施紧急救援；电梯发生其他故障，我方应在接到甲方通知后</w:t>
      </w:r>
      <w:r>
        <w:rPr>
          <w:rFonts w:hint="eastAsia" w:ascii="宋体" w:hAnsi="宋体" w:eastAsia="宋体" w:cs="宋体"/>
          <w:color w:val="auto"/>
          <w:sz w:val="24"/>
          <w:szCs w:val="24"/>
          <w:highlight w:val="none"/>
          <w:u w:val="single"/>
        </w:rPr>
        <w:t xml:space="preserve"> 60 </w:t>
      </w:r>
      <w:r>
        <w:rPr>
          <w:rFonts w:hint="eastAsia" w:ascii="宋体" w:hAnsi="宋体" w:eastAsia="宋体" w:cs="宋体"/>
          <w:color w:val="auto"/>
          <w:sz w:val="24"/>
          <w:szCs w:val="24"/>
          <w:highlight w:val="none"/>
        </w:rPr>
        <w:t>分钟内赶到现场实施抢修。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4、我方同意为本项目内所有电梯进行投保，保险费由我方承担。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5、我方同意在服务费结算前，为比选人开具6%增值税专用发票。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我们同意遵循本</w:t>
      </w:r>
      <w:r>
        <w:rPr>
          <w:rFonts w:hint="eastAsia" w:ascii="宋体" w:hAnsi="宋体" w:eastAsia="宋体" w:cs="宋体"/>
          <w:color w:val="auto"/>
          <w:sz w:val="24"/>
          <w:szCs w:val="24"/>
          <w:highlight w:val="none"/>
          <w:lang w:eastAsia="zh-CN"/>
        </w:rPr>
        <w:t>竞选文件</w:t>
      </w:r>
      <w:r>
        <w:rPr>
          <w:rFonts w:hint="eastAsia" w:ascii="宋体" w:hAnsi="宋体" w:eastAsia="宋体" w:cs="宋体"/>
          <w:color w:val="auto"/>
          <w:sz w:val="24"/>
          <w:szCs w:val="24"/>
          <w:highlight w:val="none"/>
        </w:rPr>
        <w:t>的约定，并在</w:t>
      </w:r>
      <w:r>
        <w:rPr>
          <w:rFonts w:hint="eastAsia" w:ascii="宋体" w:hAnsi="宋体" w:eastAsia="宋体" w:cs="宋体"/>
          <w:color w:val="auto"/>
          <w:sz w:val="24"/>
          <w:szCs w:val="24"/>
          <w:highlight w:val="none"/>
          <w:lang w:eastAsia="zh-CN"/>
        </w:rPr>
        <w:t>竞选有效期</w:t>
      </w:r>
      <w:r>
        <w:rPr>
          <w:rFonts w:hint="eastAsia" w:ascii="宋体" w:hAnsi="宋体" w:eastAsia="宋体" w:cs="宋体"/>
          <w:color w:val="auto"/>
          <w:sz w:val="24"/>
          <w:szCs w:val="24"/>
          <w:highlight w:val="none"/>
        </w:rPr>
        <w:t>内均具有约束力。</w:t>
      </w:r>
    </w:p>
    <w:p>
      <w:pPr>
        <w:spacing w:line="360" w:lineRule="auto"/>
        <w:ind w:firstLine="645"/>
        <w:rPr>
          <w:rFonts w:hint="eastAsia" w:ascii="宋体" w:hAnsi="宋体" w:eastAsia="宋体" w:cs="宋体"/>
          <w:color w:val="auto"/>
          <w:sz w:val="22"/>
          <w:szCs w:val="22"/>
          <w:highlight w:val="none"/>
        </w:rPr>
      </w:pPr>
    </w:p>
    <w:p>
      <w:pPr>
        <w:pStyle w:val="15"/>
        <w:spacing w:line="360" w:lineRule="auto"/>
        <w:ind w:left="31680" w:firstLine="31680"/>
        <w:rPr>
          <w:rFonts w:hint="eastAsia" w:ascii="宋体" w:hAnsi="宋体" w:eastAsia="宋体" w:cs="宋体"/>
          <w:color w:val="auto"/>
          <w:sz w:val="22"/>
          <w:szCs w:val="22"/>
          <w:highlight w:val="none"/>
        </w:rPr>
      </w:pPr>
    </w:p>
    <w:p>
      <w:pPr>
        <w:pStyle w:val="15"/>
        <w:spacing w:line="360" w:lineRule="auto"/>
        <w:ind w:left="31680" w:firstLine="31680"/>
        <w:rPr>
          <w:rFonts w:hint="eastAsia" w:ascii="宋体" w:hAnsi="宋体" w:eastAsia="宋体" w:cs="宋体"/>
          <w:color w:val="auto"/>
          <w:sz w:val="22"/>
          <w:szCs w:val="22"/>
          <w:highlight w:val="none"/>
        </w:rPr>
      </w:pPr>
    </w:p>
    <w:p>
      <w:pPr>
        <w:pStyle w:val="15"/>
        <w:spacing w:line="360" w:lineRule="auto"/>
        <w:ind w:left="31680" w:firstLine="31680"/>
        <w:rPr>
          <w:rFonts w:hint="eastAsia" w:ascii="宋体" w:hAnsi="宋体" w:eastAsia="宋体" w:cs="宋体"/>
          <w:color w:val="auto"/>
          <w:sz w:val="22"/>
          <w:szCs w:val="22"/>
          <w:highlight w:val="none"/>
        </w:rPr>
      </w:pPr>
    </w:p>
    <w:p>
      <w:pPr>
        <w:spacing w:line="360" w:lineRule="auto"/>
        <w:ind w:firstLine="3854" w:firstLineChars="160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：（公章）</w:t>
      </w:r>
    </w:p>
    <w:p>
      <w:pPr>
        <w:spacing w:line="360" w:lineRule="auto"/>
        <w:ind w:firstLine="4560" w:firstLineChars="1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rPr>
          <w:rFonts w:hint="eastAsia" w:ascii="宋体" w:hAnsi="宋体" w:eastAsia="宋体" w:cs="宋体"/>
          <w:color w:val="auto"/>
          <w:highlight w:val="none"/>
        </w:rPr>
        <w:sectPr>
          <w:pgSz w:w="11906" w:h="16838"/>
          <w:pgMar w:top="1440" w:right="1080" w:bottom="1440" w:left="1080" w:header="851" w:footer="992" w:gutter="0"/>
          <w:pgNumType w:fmt="decimal"/>
          <w:cols w:space="425" w:num="1"/>
          <w:docGrid w:type="lines" w:linePitch="312" w:charSpace="0"/>
        </w:sectPr>
      </w:pPr>
    </w:p>
    <w:p>
      <w:pPr>
        <w:autoSpaceDE w:val="0"/>
        <w:autoSpaceDN w:val="0"/>
        <w:adjustRightInd w:val="0"/>
        <w:jc w:val="center"/>
        <w:rPr>
          <w:rFonts w:hint="eastAsia" w:ascii="宋体" w:hAnsi="宋体" w:eastAsia="宋体" w:cs="宋体"/>
          <w:b/>
          <w:bCs/>
          <w:color w:val="auto"/>
          <w:kern w:val="0"/>
          <w:sz w:val="28"/>
          <w:szCs w:val="28"/>
          <w:highlight w:val="none"/>
        </w:rPr>
      </w:pPr>
      <w:bookmarkStart w:id="34" w:name="_Toc64859111"/>
      <w:bookmarkStart w:id="35" w:name="_Toc447787774"/>
      <w:bookmarkStart w:id="36" w:name="_Toc516969106"/>
      <w:bookmarkStart w:id="37" w:name="_Toc466549695"/>
      <w:bookmarkStart w:id="38" w:name="_Toc517872614"/>
      <w:r>
        <w:rPr>
          <w:rFonts w:hint="eastAsia" w:ascii="宋体" w:hAnsi="宋体" w:eastAsia="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sz w:val="28"/>
          <w:szCs w:val="28"/>
          <w:highlight w:val="none"/>
        </w:rPr>
        <w:t>法定代表人身份证明</w:t>
      </w:r>
    </w:p>
    <w:p>
      <w:pPr>
        <w:spacing w:line="360" w:lineRule="exact"/>
        <w:jc w:val="center"/>
        <w:rPr>
          <w:rFonts w:hint="eastAsia" w:ascii="宋体" w:hAnsi="宋体" w:eastAsia="宋体" w:cs="宋体"/>
          <w:b/>
          <w:bCs/>
          <w:color w:val="auto"/>
          <w:sz w:val="24"/>
          <w:szCs w:val="24"/>
          <w:highlight w:val="none"/>
          <w:u w:val="single"/>
        </w:rPr>
      </w:pPr>
    </w:p>
    <w:p>
      <w:pPr>
        <w:spacing w:line="400" w:lineRule="exact"/>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竞选人</w:t>
      </w:r>
      <w:r>
        <w:rPr>
          <w:rFonts w:hint="eastAsia" w:ascii="宋体" w:hAnsi="宋体" w:eastAsia="宋体" w:cs="宋体"/>
          <w:snapToGrid w:val="0"/>
          <w:color w:val="auto"/>
          <w:kern w:val="0"/>
          <w:sz w:val="24"/>
          <w:szCs w:val="24"/>
          <w:highlight w:val="none"/>
        </w:rPr>
        <w:t>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单位性质：</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成立时间：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经营期限：</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pPr>
        <w:spacing w:line="360" w:lineRule="auto"/>
        <w:ind w:firstLine="48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竞选人</w:t>
      </w:r>
      <w:r>
        <w:rPr>
          <w:rFonts w:hint="eastAsia" w:ascii="宋体" w:hAnsi="宋体" w:eastAsia="宋体" w:cs="宋体"/>
          <w:snapToGrid w:val="0"/>
          <w:color w:val="auto"/>
          <w:kern w:val="0"/>
          <w:sz w:val="24"/>
          <w:szCs w:val="24"/>
          <w:highlight w:val="none"/>
        </w:rPr>
        <w:t>名称）的法定代表人。</w:t>
      </w:r>
    </w:p>
    <w:p>
      <w:pPr>
        <w:spacing w:line="360" w:lineRule="auto"/>
        <w:ind w:firstLine="960" w:firstLineChars="4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特此证明。</w:t>
      </w:r>
    </w:p>
    <w:p>
      <w:pPr>
        <w:spacing w:line="360" w:lineRule="auto"/>
        <w:ind w:firstLine="960" w:firstLineChars="4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附：法定代表人身份证复印件</w:t>
      </w:r>
    </w:p>
    <w:p>
      <w:pPr>
        <w:spacing w:line="360" w:lineRule="auto"/>
        <w:jc w:val="right"/>
        <w:rPr>
          <w:rFonts w:hint="eastAsia" w:ascii="宋体" w:hAnsi="宋体" w:eastAsia="宋体" w:cs="宋体"/>
          <w:snapToGrid w:val="0"/>
          <w:color w:val="auto"/>
          <w:kern w:val="0"/>
          <w:sz w:val="24"/>
          <w:szCs w:val="24"/>
          <w:highlight w:val="none"/>
        </w:rPr>
      </w:pPr>
    </w:p>
    <w:p>
      <w:pPr>
        <w:spacing w:line="360" w:lineRule="auto"/>
        <w:jc w:val="both"/>
        <w:rPr>
          <w:rFonts w:hint="eastAsia" w:ascii="宋体" w:hAnsi="宋体" w:eastAsia="宋体" w:cs="宋体"/>
          <w:snapToGrid w:val="0"/>
          <w:color w:val="auto"/>
          <w:kern w:val="0"/>
          <w:sz w:val="24"/>
          <w:szCs w:val="24"/>
          <w:highlight w:val="none"/>
        </w:rPr>
      </w:pPr>
    </w:p>
    <w:p>
      <w:pPr>
        <w:spacing w:line="360" w:lineRule="auto"/>
        <w:jc w:val="both"/>
        <w:rPr>
          <w:rFonts w:hint="eastAsia" w:ascii="宋体" w:hAnsi="宋体" w:eastAsia="宋体" w:cs="宋体"/>
          <w:snapToGrid w:val="0"/>
          <w:color w:val="auto"/>
          <w:kern w:val="0"/>
          <w:sz w:val="24"/>
          <w:szCs w:val="24"/>
          <w:highlight w:val="none"/>
        </w:rPr>
      </w:pPr>
    </w:p>
    <w:p>
      <w:pPr>
        <w:spacing w:line="360" w:lineRule="auto"/>
        <w:jc w:val="right"/>
        <w:rPr>
          <w:rFonts w:hint="eastAsia" w:ascii="宋体" w:hAnsi="宋体" w:eastAsia="宋体" w:cs="宋体"/>
          <w:snapToGrid w:val="0"/>
          <w:color w:val="auto"/>
          <w:kern w:val="0"/>
          <w:sz w:val="24"/>
          <w:szCs w:val="24"/>
          <w:highlight w:val="none"/>
        </w:rPr>
      </w:pPr>
    </w:p>
    <w:p>
      <w:pPr>
        <w:spacing w:line="360" w:lineRule="auto"/>
        <w:jc w:val="right"/>
        <w:rPr>
          <w:rFonts w:hint="eastAsia" w:ascii="宋体" w:hAnsi="宋体" w:eastAsia="宋体" w:cs="宋体"/>
          <w:snapToGrid w:val="0"/>
          <w:color w:val="auto"/>
          <w:kern w:val="0"/>
          <w:sz w:val="24"/>
          <w:szCs w:val="24"/>
          <w:highlight w:val="none"/>
        </w:rPr>
      </w:pPr>
    </w:p>
    <w:p>
      <w:pPr>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竞选人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（盖章）</w:t>
      </w:r>
    </w:p>
    <w:p>
      <w:pPr>
        <w:pStyle w:val="15"/>
        <w:spacing w:line="360" w:lineRule="auto"/>
        <w:ind w:left="0" w:leftChars="0" w:firstLine="0" w:firstLineChars="0"/>
        <w:rPr>
          <w:rFonts w:hint="eastAsia" w:ascii="宋体" w:hAnsi="宋体" w:eastAsia="宋体" w:cs="宋体"/>
          <w:color w:val="auto"/>
          <w:sz w:val="24"/>
          <w:szCs w:val="24"/>
          <w:highlight w:val="none"/>
        </w:rPr>
      </w:pPr>
    </w:p>
    <w:p>
      <w:pPr>
        <w:pStyle w:val="15"/>
        <w:spacing w:line="360" w:lineRule="auto"/>
        <w:ind w:left="31680" w:firstLine="5280" w:firstLineChars="220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pPr>
        <w:pStyle w:val="15"/>
        <w:ind w:left="31680" w:firstLine="31680"/>
        <w:rPr>
          <w:rFonts w:hint="eastAsia" w:ascii="宋体" w:hAnsi="宋体" w:eastAsia="宋体" w:cs="宋体"/>
          <w:snapToGrid w:val="0"/>
          <w:color w:val="auto"/>
          <w:highlight w:val="none"/>
        </w:rPr>
      </w:pPr>
    </w:p>
    <w:p>
      <w:pPr>
        <w:pStyle w:val="3"/>
        <w:spacing w:line="432" w:lineRule="auto"/>
        <w:jc w:val="center"/>
        <w:outlineLvl w:val="9"/>
        <w:rPr>
          <w:rFonts w:hint="eastAsia" w:ascii="宋体" w:hAnsi="宋体" w:eastAsia="宋体" w:cs="宋体"/>
          <w:color w:val="auto"/>
          <w:sz w:val="24"/>
          <w:szCs w:val="24"/>
          <w:highlight w:val="none"/>
        </w:rPr>
      </w:pPr>
    </w:p>
    <w:p>
      <w:pPr>
        <w:pStyle w:val="3"/>
        <w:spacing w:line="432" w:lineRule="auto"/>
        <w:jc w:val="center"/>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5"/>
        <w:ind w:left="31680" w:firstLine="31680"/>
        <w:rPr>
          <w:rFonts w:hint="eastAsia" w:ascii="宋体" w:hAnsi="宋体" w:eastAsia="宋体" w:cs="宋体"/>
          <w:color w:val="auto"/>
          <w:highlight w:val="none"/>
        </w:rPr>
      </w:pPr>
    </w:p>
    <w:p>
      <w:pPr>
        <w:autoSpaceDE w:val="0"/>
        <w:autoSpaceDN w:val="0"/>
        <w:adjustRightInd w:val="0"/>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rPr>
        <w:t>四</w:t>
      </w:r>
      <w:r>
        <w:rPr>
          <w:rFonts w:hint="eastAsia" w:ascii="宋体" w:hAnsi="宋体" w:eastAsia="宋体" w:cs="宋体"/>
          <w:b/>
          <w:bCs/>
          <w:color w:val="auto"/>
          <w:kern w:val="0"/>
          <w:sz w:val="28"/>
          <w:szCs w:val="28"/>
          <w:highlight w:val="none"/>
        </w:rPr>
        <w:t>、</w:t>
      </w:r>
      <w:bookmarkEnd w:id="34"/>
      <w:bookmarkEnd w:id="35"/>
      <w:bookmarkEnd w:id="36"/>
      <w:r>
        <w:rPr>
          <w:rFonts w:hint="eastAsia" w:ascii="宋体" w:hAnsi="宋体" w:eastAsia="宋体" w:cs="宋体"/>
          <w:b/>
          <w:bCs/>
          <w:color w:val="auto"/>
          <w:kern w:val="0"/>
          <w:sz w:val="28"/>
          <w:szCs w:val="28"/>
          <w:highlight w:val="none"/>
        </w:rPr>
        <w:t>授权委托书</w:t>
      </w:r>
    </w:p>
    <w:p>
      <w:pPr>
        <w:pStyle w:val="15"/>
        <w:ind w:left="0" w:leftChars="0" w:firstLine="0" w:firstLineChars="0"/>
        <w:rPr>
          <w:rFonts w:hint="eastAsia" w:ascii="宋体" w:hAnsi="宋体" w:eastAsia="宋体" w:cs="宋体"/>
          <w:color w:val="auto"/>
          <w:highlight w:val="none"/>
        </w:rPr>
      </w:pPr>
    </w:p>
    <w:p>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为我方代理人。代理人根据授权，以我方名义签署、澄清、说明、补正、提交、撤回、修改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竞选文件</w:t>
      </w:r>
      <w:r>
        <w:rPr>
          <w:rFonts w:hint="eastAsia" w:ascii="宋体" w:hAnsi="宋体" w:eastAsia="宋体" w:cs="宋体"/>
          <w:color w:val="auto"/>
          <w:sz w:val="24"/>
          <w:szCs w:val="24"/>
          <w:highlight w:val="none"/>
        </w:rPr>
        <w:t>、签订合同和处理有关事宜，其法律后果由我方承担。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委托期限：同</w:t>
      </w:r>
      <w:r>
        <w:rPr>
          <w:rFonts w:hint="eastAsia" w:ascii="宋体" w:hAnsi="宋体" w:eastAsia="宋体" w:cs="宋体"/>
          <w:color w:val="auto"/>
          <w:sz w:val="24"/>
          <w:szCs w:val="24"/>
          <w:highlight w:val="none"/>
          <w:lang w:eastAsia="zh-CN"/>
        </w:rPr>
        <w:t>竞选有效期</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附：法定代表人身份证明和委托代理人身份证复印件</w:t>
      </w:r>
    </w:p>
    <w:p>
      <w:pPr>
        <w:spacing w:line="360" w:lineRule="auto"/>
        <w:rPr>
          <w:rFonts w:hint="eastAsia" w:ascii="宋体" w:hAnsi="宋体" w:eastAsia="宋体" w:cs="宋体"/>
          <w:b/>
          <w:bCs/>
          <w:color w:val="auto"/>
          <w:sz w:val="22"/>
          <w:szCs w:val="22"/>
          <w:highlight w:val="none"/>
        </w:rPr>
      </w:pPr>
    </w:p>
    <w:p>
      <w:pPr>
        <w:pStyle w:val="15"/>
        <w:spacing w:line="360" w:lineRule="auto"/>
        <w:ind w:left="31680" w:firstLine="31680"/>
        <w:rPr>
          <w:rFonts w:hint="eastAsia" w:ascii="宋体" w:hAnsi="宋体" w:eastAsia="宋体" w:cs="宋体"/>
          <w:b/>
          <w:bCs/>
          <w:color w:val="auto"/>
          <w:sz w:val="22"/>
          <w:szCs w:val="22"/>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w:t>
      </w:r>
      <w:r>
        <w:rPr>
          <w:rFonts w:hint="eastAsia" w:ascii="宋体" w:hAnsi="宋体" w:eastAsia="宋体" w:cs="宋体"/>
          <w:snapToGrid w:val="0"/>
          <w:color w:val="auto"/>
          <w:kern w:val="0"/>
          <w:sz w:val="24"/>
          <w:szCs w:val="24"/>
          <w:highlight w:val="none"/>
        </w:rPr>
        <w:t>手机号码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center"/>
        <w:outlineLvl w:val="9"/>
        <w:rPr>
          <w:rFonts w:hint="eastAsia" w:ascii="宋体" w:hAnsi="宋体" w:eastAsia="宋体" w:cs="宋体"/>
          <w:b/>
          <w:bCs/>
          <w:color w:val="auto"/>
          <w:sz w:val="24"/>
          <w:szCs w:val="24"/>
          <w:highlight w:val="none"/>
        </w:rPr>
      </w:pPr>
    </w:p>
    <w:p>
      <w:pPr>
        <w:spacing w:line="420" w:lineRule="exact"/>
        <w:jc w:val="both"/>
        <w:outlineLvl w:val="9"/>
        <w:rPr>
          <w:rFonts w:hint="eastAsia" w:ascii="宋体" w:hAnsi="宋体" w:eastAsia="宋体" w:cs="宋体"/>
          <w:b/>
          <w:bCs/>
          <w:color w:val="auto"/>
          <w:sz w:val="24"/>
          <w:szCs w:val="24"/>
          <w:highlight w:val="none"/>
        </w:rPr>
      </w:pPr>
    </w:p>
    <w:p>
      <w:pPr>
        <w:spacing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竞选人</w:t>
      </w:r>
      <w:r>
        <w:rPr>
          <w:rFonts w:hint="eastAsia" w:ascii="宋体" w:hAnsi="宋体" w:eastAsia="宋体" w:cs="宋体"/>
          <w:b/>
          <w:bCs/>
          <w:color w:val="auto"/>
          <w:sz w:val="28"/>
          <w:szCs w:val="28"/>
          <w:highlight w:val="none"/>
          <w:lang w:val="en-US" w:eastAsia="zh-CN"/>
        </w:rPr>
        <w:t>信誉</w:t>
      </w:r>
      <w:r>
        <w:rPr>
          <w:rFonts w:hint="eastAsia" w:ascii="宋体" w:hAnsi="宋体" w:eastAsia="宋体" w:cs="宋体"/>
          <w:b/>
          <w:bCs/>
          <w:color w:val="auto"/>
          <w:sz w:val="28"/>
          <w:szCs w:val="28"/>
          <w:highlight w:val="none"/>
        </w:rPr>
        <w:t>承诺书</w:t>
      </w:r>
      <w:bookmarkEnd w:id="37"/>
      <w:bookmarkEnd w:id="38"/>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highlight w:val="none"/>
          <w:lang w:val="en-US" w:eastAsia="zh-CN"/>
        </w:rPr>
      </w:pPr>
      <w:bookmarkStart w:id="39" w:name="_Toc447787770"/>
      <w:bookmarkStart w:id="40" w:name="_Toc280276969"/>
      <w:bookmarkStart w:id="41" w:name="_Toc516969101"/>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（提供竞选人信誉查询截图或竞选人信誉承诺书）</w:t>
      </w:r>
    </w:p>
    <w:p>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本企业郑重承诺：</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我公司不存在以下几种情形，否则我公司将接受联合惩戒，成交无效：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①被最高人民法院在“信用中国”网站（www.creditchina.gov.cn）列入失信被执行人失信惩戒名单。</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②被国家税务总局列入“重大税收违法案件当事人”名单。</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③被国家市场监督管理部门在国家企业信用信息公示系统（www.gsxt.gov.cn）中列入严重违法失信企业名单。</w:t>
      </w:r>
    </w:p>
    <w:p>
      <w:pPr>
        <w:spacing w:before="0" w:line="360" w:lineRule="auto"/>
        <w:ind w:right="0" w:firstLine="5783" w:firstLineChars="2400"/>
        <w:jc w:val="left"/>
        <w:rPr>
          <w:rFonts w:hint="eastAsia" w:ascii="宋体" w:hAnsi="宋体" w:eastAsia="宋体" w:cs="宋体"/>
          <w:b/>
          <w:bCs/>
          <w:color w:val="auto"/>
          <w:sz w:val="24"/>
          <w:szCs w:val="24"/>
          <w:highlight w:val="none"/>
          <w:lang w:val="en-US" w:eastAsia="zh-CN"/>
        </w:rPr>
      </w:pPr>
    </w:p>
    <w:p>
      <w:pPr>
        <w:pStyle w:val="15"/>
        <w:spacing w:line="360" w:lineRule="auto"/>
        <w:rPr>
          <w:rFonts w:hint="eastAsia" w:ascii="宋体" w:hAnsi="宋体" w:eastAsia="宋体" w:cs="宋体"/>
          <w:color w:val="auto"/>
          <w:highlight w:val="none"/>
          <w:lang w:val="en-US" w:eastAsia="zh-CN"/>
        </w:rPr>
      </w:pPr>
    </w:p>
    <w:p>
      <w:pPr>
        <w:spacing w:before="0" w:line="360" w:lineRule="auto"/>
        <w:ind w:right="0" w:firstLine="4819" w:firstLineChars="2000"/>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lang w:val="en-US" w:eastAsia="zh-CN"/>
        </w:rPr>
        <w:t xml:space="preserve">                         </w:t>
      </w:r>
    </w:p>
    <w:p>
      <w:pPr>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 xml:space="preserve">（盖章）：         </w:t>
      </w:r>
    </w:p>
    <w:p>
      <w:pPr>
        <w:pStyle w:val="24"/>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24"/>
        <w:snapToGrid w:val="0"/>
        <w:spacing w:line="360" w:lineRule="auto"/>
        <w:ind w:firstLine="48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color w:val="auto"/>
          <w:sz w:val="24"/>
          <w:szCs w:val="24"/>
          <w:highlight w:val="none"/>
        </w:rPr>
      </w:pPr>
    </w:p>
    <w:p>
      <w:pPr>
        <w:widowControl/>
        <w:jc w:val="both"/>
        <w:textAlignment w:val="center"/>
        <w:rPr>
          <w:rFonts w:hint="eastAsia" w:ascii="宋体" w:hAnsi="宋体" w:eastAsia="宋体" w:cs="宋体"/>
          <w:color w:val="auto"/>
          <w:sz w:val="24"/>
          <w:szCs w:val="24"/>
          <w:highlight w:val="none"/>
        </w:rPr>
      </w:pPr>
    </w:p>
    <w:p>
      <w:pPr>
        <w:widowControl/>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w:t>
      </w:r>
      <w:bookmarkEnd w:id="39"/>
      <w:bookmarkEnd w:id="40"/>
      <w:bookmarkEnd w:id="41"/>
      <w:r>
        <w:rPr>
          <w:rFonts w:hint="eastAsia" w:ascii="宋体" w:hAnsi="宋体" w:eastAsia="宋体" w:cs="宋体"/>
          <w:b/>
          <w:bCs/>
          <w:color w:val="auto"/>
          <w:sz w:val="28"/>
          <w:szCs w:val="28"/>
          <w:highlight w:val="none"/>
        </w:rPr>
        <w:t>电梯配件报价表</w:t>
      </w:r>
    </w:p>
    <w:p>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报价表须满足比选文件第三章采购需求中电梯配件清单要求，不得缺项漏项，</w:t>
      </w:r>
      <w:r>
        <w:rPr>
          <w:rFonts w:hint="eastAsia" w:ascii="宋体" w:hAnsi="宋体" w:eastAsia="宋体" w:cs="宋体"/>
          <w:b/>
          <w:bCs/>
          <w:color w:val="auto"/>
          <w:sz w:val="24"/>
          <w:szCs w:val="24"/>
          <w:highlight w:val="none"/>
          <w:lang w:val="en-US" w:eastAsia="zh-CN"/>
        </w:rPr>
        <w:t>不得高于单价最高限价。</w:t>
      </w:r>
    </w:p>
    <w:p>
      <w:pPr>
        <w:jc w:val="right"/>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单位：元</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936"/>
        <w:gridCol w:w="936"/>
        <w:gridCol w:w="3996"/>
        <w:gridCol w:w="456"/>
        <w:gridCol w:w="140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品牌</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单价最高限价（含安装费）</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投标报价</w:t>
            </w:r>
            <w:r>
              <w:rPr>
                <w:rFonts w:hint="eastAsia" w:ascii="宋体" w:hAnsi="宋体" w:eastAsia="宋体" w:cs="宋体"/>
                <w:b w:val="0"/>
                <w:bCs w:val="0"/>
                <w:i w:val="0"/>
                <w:iCs w:val="0"/>
                <w:color w:val="auto"/>
                <w:kern w:val="0"/>
                <w:sz w:val="24"/>
                <w:szCs w:val="24"/>
                <w:highlight w:val="none"/>
                <w:u w:val="none"/>
                <w:lang w:val="en-US" w:eastAsia="zh-CN" w:bidi="ar"/>
              </w:rPr>
              <w:t>（含安装费）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限位开关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底坑安全开关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双稳态开关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光电平层开关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GD-30A</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GD-1a、b</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抱闸检测开关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轿门开关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抱闸检测板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申龙抱闸板</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盘车轮开关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三项电源开关</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IP63A</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申龙7000-IP63A</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盘车开关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检修上下行按钮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应急照明（套）</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永大ENT（包括应急电源和应急灯）</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申龙7000-IP63A（包括应急电源和应急灯）</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底坑检修盒</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永大ENT（带开关）</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申龙7000（带开关）</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整流桥</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永大ENT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按钮排线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风扇</w:t>
            </w:r>
          </w:p>
        </w:tc>
        <w:tc>
          <w:tcPr>
            <w:tcW w:w="4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FB-10B</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FB-9B</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轿门同步传动皮带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门机电动机皮带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S8M3722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门机电动机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BM37/2E</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称重装置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对讲主机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WF/DS</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对讲副机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WF/FJ</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电子到站钟</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电子报警蜂鸣器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AV*-2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苏州江南快速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DZE-14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BAD150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制动电阻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RDLX-5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曳引机钢丝绳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8mm/10mm/12mm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限速器钢丝绳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6mm/8mm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厅门重锤</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LU2V</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厅门重锤钢丝绳</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厅门重锤套筒</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导向轮</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540-5-13</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曳引轮</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520*5*13</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对重轮</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540*5*13</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补偿链</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16/24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包塑/全塑</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缓冲器</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870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OH-220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870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限速器</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XO-240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补偿导向装置</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DX220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副导轨</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TK-50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导靴</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靴衬</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油杯</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苏州江南快速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博林特</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厅门门锁</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DS-161</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门滑块</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厅门挂板</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厅门三角锁</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层门地坎</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轿门</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涨紧轮</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20KG  </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应急电源</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DK24</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开关电源</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KAG240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继电器</w:t>
            </w:r>
          </w:p>
        </w:tc>
        <w:tc>
          <w:tcPr>
            <w:tcW w:w="4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DC132</w:t>
            </w: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相序继电器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XXXJD</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JCA220-32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轿厢控制板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SSL02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抱闸整流板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封星电路板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轿厢通讯板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FBI</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轿顶板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EMB-011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轿厢指令板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FPB</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电梯主板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YD7P</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群控板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旋转编码器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DMC-16S</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编码器线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DMC5M</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外呼板</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操作箱锁</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外呼锁梯锁</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光幕</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SFT220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门机控制器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MDS1541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DMD1200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TRZJ100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变频器一体机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速度PG卡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二代PG卡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门机编码器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爱默生</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永大</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MJBM01</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曼斯顿</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申龙</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申龙7000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spacing w:line="432" w:lineRule="auto"/>
        <w:rPr>
          <w:rFonts w:hint="eastAsia" w:ascii="宋体" w:hAnsi="宋体" w:eastAsia="宋体" w:cs="宋体"/>
          <w:color w:val="auto"/>
          <w:sz w:val="24"/>
          <w:szCs w:val="24"/>
          <w:highlight w:val="none"/>
        </w:rPr>
      </w:pPr>
    </w:p>
    <w:p>
      <w:pPr>
        <w:pStyle w:val="15"/>
        <w:ind w:left="31680" w:firstLine="31680"/>
        <w:rPr>
          <w:rFonts w:hint="eastAsia" w:ascii="宋体" w:hAnsi="宋体" w:eastAsia="宋体" w:cs="宋体"/>
          <w:color w:val="auto"/>
          <w:highlight w:val="none"/>
        </w:rPr>
      </w:pPr>
      <w:bookmarkStart w:id="42" w:name="_Toc447787771"/>
      <w:bookmarkStart w:id="43" w:name="_Toc516969103"/>
      <w:bookmarkStart w:id="44" w:name="_Toc280276970"/>
    </w:p>
    <w:p>
      <w:pPr>
        <w:pStyle w:val="15"/>
        <w:ind w:left="31680" w:firstLine="31680"/>
        <w:rPr>
          <w:rFonts w:hint="eastAsia" w:ascii="宋体" w:hAnsi="宋体" w:eastAsia="宋体" w:cs="宋体"/>
          <w:color w:val="auto"/>
          <w:highlight w:val="none"/>
        </w:rPr>
      </w:pPr>
    </w:p>
    <w:p>
      <w:pPr>
        <w:pStyle w:val="3"/>
        <w:spacing w:line="432" w:lineRule="auto"/>
        <w:jc w:val="both"/>
        <w:outlineLvl w:val="9"/>
        <w:rPr>
          <w:rFonts w:hint="eastAsia" w:ascii="宋体" w:hAnsi="宋体" w:eastAsia="宋体" w:cs="宋体"/>
          <w:color w:val="auto"/>
          <w:sz w:val="24"/>
          <w:szCs w:val="24"/>
          <w:highlight w:val="none"/>
        </w:rPr>
      </w:pPr>
    </w:p>
    <w:p>
      <w:pPr>
        <w:rPr>
          <w:rFonts w:hint="eastAsia"/>
        </w:rPr>
      </w:pPr>
    </w:p>
    <w:p>
      <w:pPr>
        <w:pStyle w:val="3"/>
        <w:spacing w:line="432"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w:t>
      </w:r>
      <w:bookmarkStart w:id="45" w:name="_Hlt509738950"/>
      <w:bookmarkEnd w:id="45"/>
      <w:r>
        <w:rPr>
          <w:rFonts w:hint="eastAsia" w:ascii="宋体" w:hAnsi="宋体" w:eastAsia="宋体" w:cs="宋体"/>
          <w:color w:val="auto"/>
          <w:sz w:val="28"/>
          <w:szCs w:val="28"/>
          <w:highlight w:val="none"/>
        </w:rPr>
        <w:t>产品质量承诺</w:t>
      </w:r>
      <w:bookmarkEnd w:id="42"/>
      <w:bookmarkEnd w:id="43"/>
      <w:bookmarkEnd w:id="44"/>
    </w:p>
    <w:p>
      <w:pPr>
        <w:spacing w:line="43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所提供产品是原厂正品合格产品承诺，保修维护服务享受国家三包政策承诺</w:t>
      </w:r>
    </w:p>
    <w:p>
      <w:pPr>
        <w:spacing w:line="43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（格式</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自定）</w:t>
      </w:r>
    </w:p>
    <w:p>
      <w:pPr>
        <w:pStyle w:val="3"/>
        <w:spacing w:line="432" w:lineRule="auto"/>
        <w:jc w:val="center"/>
        <w:outlineLvl w:val="9"/>
        <w:rPr>
          <w:rFonts w:hint="eastAsia" w:ascii="宋体" w:hAnsi="宋体" w:eastAsia="宋体" w:cs="宋体"/>
          <w:color w:val="auto"/>
          <w:sz w:val="24"/>
          <w:szCs w:val="24"/>
          <w:highlight w:val="none"/>
          <w:lang w:val="en-US" w:eastAsia="zh-CN"/>
        </w:rPr>
      </w:pPr>
      <w:bookmarkStart w:id="46" w:name="_Hlt509649506"/>
      <w:bookmarkEnd w:id="46"/>
    </w:p>
    <w:p>
      <w:pPr>
        <w:bidi w:val="0"/>
        <w:spacing w:line="480" w:lineRule="auto"/>
        <w:jc w:val="left"/>
        <w:rPr>
          <w:rFonts w:hint="eastAsia" w:ascii="宋体" w:hAnsi="宋体" w:eastAsia="宋体" w:cs="宋体"/>
          <w:b/>
          <w:bCs/>
          <w:color w:val="auto"/>
          <w:sz w:val="28"/>
          <w:szCs w:val="28"/>
          <w:highlight w:val="none"/>
          <w:lang w:val="en-US" w:eastAsia="zh-CN"/>
        </w:rPr>
      </w:pPr>
      <w:bookmarkStart w:id="47" w:name="_Toc64859109"/>
      <w:bookmarkStart w:id="48" w:name="_Toc516969104"/>
      <w:bookmarkStart w:id="49" w:name="_Hlt510342906"/>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企业营业执照</w:t>
      </w:r>
      <w:r>
        <w:rPr>
          <w:rFonts w:hint="eastAsia" w:ascii="宋体" w:hAnsi="宋体" w:eastAsia="宋体" w:cs="宋体"/>
          <w:b/>
          <w:bCs/>
          <w:color w:val="auto"/>
          <w:sz w:val="28"/>
          <w:szCs w:val="28"/>
          <w:highlight w:val="none"/>
          <w:lang w:val="en-US" w:eastAsia="zh-CN"/>
        </w:rPr>
        <w:t>及资质证书</w:t>
      </w:r>
    </w:p>
    <w:p>
      <w:pPr>
        <w:bidi w:val="0"/>
        <w:spacing w:line="480" w:lineRule="auto"/>
        <w:jc w:val="left"/>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eastAsia="zh-CN"/>
        </w:rPr>
        <w:t>九、企业实力（根据评标办法要求，自行拟定）</w:t>
      </w:r>
    </w:p>
    <w:p>
      <w:pPr>
        <w:bidi w:val="0"/>
        <w:spacing w:line="48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十、专业技术力量（根据评标办法要求，自行拟定）</w:t>
      </w:r>
      <w:bookmarkStart w:id="50" w:name="_Toc394358848"/>
    </w:p>
    <w:p>
      <w:pPr>
        <w:bidi w:val="0"/>
        <w:spacing w:line="48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十一、项目负责人业绩（根据评标办法要求，自行拟定）</w:t>
      </w:r>
    </w:p>
    <w:p>
      <w:pPr>
        <w:bidi w:val="0"/>
        <w:spacing w:line="48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十二、企业维保业绩（根据评标办法要求，自行拟定）</w:t>
      </w:r>
    </w:p>
    <w:p>
      <w:pPr>
        <w:bidi w:val="0"/>
        <w:spacing w:line="48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十三、维保服务方案（根据评标办法要求，自行拟定）</w:t>
      </w:r>
    </w:p>
    <w:p>
      <w:pPr>
        <w:bidi w:val="0"/>
        <w:spacing w:line="48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十四、应急响应预案（根据评标办法要求，自行拟定）</w:t>
      </w:r>
    </w:p>
    <w:p>
      <w:pPr>
        <w:bidi w:val="0"/>
        <w:spacing w:line="48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十五、服务措施（根据评标办法要求，自行拟定）</w:t>
      </w:r>
    </w:p>
    <w:p>
      <w:pPr>
        <w:bidi w:val="0"/>
        <w:spacing w:line="48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十六、零配件承诺（根据评标办法要求，自行拟定）</w:t>
      </w:r>
      <w:bookmarkEnd w:id="47"/>
      <w:bookmarkEnd w:id="48"/>
      <w:bookmarkEnd w:id="49"/>
      <w:bookmarkEnd w:id="50"/>
      <w:bookmarkStart w:id="51" w:name="_Hlt509738384"/>
      <w:bookmarkStart w:id="52" w:name="_Toc447787777"/>
      <w:bookmarkStart w:id="53" w:name="_Toc516969111"/>
      <w:bookmarkStart w:id="54" w:name="_Toc64859116"/>
    </w:p>
    <w:p>
      <w:pPr>
        <w:bidi w:val="0"/>
        <w:spacing w:line="480" w:lineRule="auto"/>
        <w:jc w:val="center"/>
        <w:rPr>
          <w:rFonts w:hint="eastAsia" w:ascii="宋体" w:hAnsi="宋体" w:eastAsia="宋体" w:cs="宋体"/>
          <w:b/>
          <w:bCs/>
          <w:color w:val="auto"/>
          <w:sz w:val="28"/>
          <w:szCs w:val="28"/>
          <w:highlight w:val="none"/>
          <w:lang w:val="en-US" w:eastAsia="zh-CN"/>
        </w:rPr>
      </w:pPr>
    </w:p>
    <w:p>
      <w:pPr>
        <w:bidi w:val="0"/>
        <w:spacing w:line="48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十七</w:t>
      </w:r>
      <w:r>
        <w:rPr>
          <w:rFonts w:hint="eastAsia" w:ascii="宋体" w:hAnsi="宋体" w:eastAsia="宋体" w:cs="宋体"/>
          <w:b/>
          <w:bCs/>
          <w:color w:val="auto"/>
          <w:sz w:val="28"/>
          <w:szCs w:val="28"/>
          <w:highlight w:val="none"/>
        </w:rPr>
        <w:t>、</w:t>
      </w:r>
      <w:bookmarkEnd w:id="51"/>
      <w:bookmarkEnd w:id="52"/>
      <w:bookmarkEnd w:id="53"/>
      <w:bookmarkEnd w:id="54"/>
      <w:bookmarkStart w:id="55" w:name="_Hlt509650291"/>
      <w:bookmarkEnd w:id="55"/>
      <w:r>
        <w:rPr>
          <w:rFonts w:hint="eastAsia" w:ascii="宋体" w:hAnsi="宋体" w:eastAsia="宋体" w:cs="宋体"/>
          <w:b/>
          <w:bCs/>
          <w:color w:val="auto"/>
          <w:sz w:val="28"/>
          <w:szCs w:val="28"/>
          <w:highlight w:val="none"/>
          <w:lang w:val="zh-CN"/>
        </w:rPr>
        <w:t>竞选人认为需要提供的其他资料</w:t>
      </w:r>
    </w:p>
    <w:p>
      <w:pPr>
        <w:pStyle w:val="15"/>
        <w:ind w:left="31680" w:firstLine="3168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2049A"/>
    <w:multiLevelType w:val="singleLevel"/>
    <w:tmpl w:val="D4C2049A"/>
    <w:lvl w:ilvl="0" w:tentative="0">
      <w:start w:val="1"/>
      <w:numFmt w:val="decimal"/>
      <w:lvlText w:val="%1"/>
      <w:lvlJc w:val="left"/>
      <w:pPr>
        <w:tabs>
          <w:tab w:val="left" w:pos="420"/>
        </w:tabs>
        <w:ind w:left="425" w:leftChars="0" w:hanging="425" w:firstLineChars="0"/>
      </w:pPr>
      <w:rPr>
        <w:rFonts w:hint="default"/>
      </w:rPr>
    </w:lvl>
  </w:abstractNum>
  <w:abstractNum w:abstractNumId="1">
    <w:nsid w:val="3BEEBEEF"/>
    <w:multiLevelType w:val="singleLevel"/>
    <w:tmpl w:val="3BEEBEEF"/>
    <w:lvl w:ilvl="0" w:tentative="0">
      <w:start w:val="2"/>
      <w:numFmt w:val="chineseCounting"/>
      <w:suff w:val="nothing"/>
      <w:lvlText w:val="（%1）"/>
      <w:lvlJc w:val="left"/>
      <w:rPr>
        <w:rFonts w:hint="eastAsia"/>
      </w:rPr>
    </w:lvl>
  </w:abstractNum>
  <w:abstractNum w:abstractNumId="2">
    <w:nsid w:val="40AB1CBA"/>
    <w:multiLevelType w:val="singleLevel"/>
    <w:tmpl w:val="40AB1CBA"/>
    <w:lvl w:ilvl="0" w:tentative="0">
      <w:start w:val="2"/>
      <w:numFmt w:val="upperLetter"/>
      <w:pStyle w:val="2"/>
      <w:lvlText w:val="%1."/>
      <w:lvlJc w:val="left"/>
      <w:pPr>
        <w:tabs>
          <w:tab w:val="left" w:pos="1830"/>
        </w:tabs>
        <w:ind w:left="3300" w:hanging="36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 w:name="KSO_WPS_MARK_KEY" w:val="f6fa4c1e-b32e-4006-92fc-6f8688c5ee0a"/>
  </w:docVars>
  <w:rsids>
    <w:rsidRoot w:val="28892160"/>
    <w:rsid w:val="01A4664D"/>
    <w:rsid w:val="02C1612A"/>
    <w:rsid w:val="034430D0"/>
    <w:rsid w:val="048519B3"/>
    <w:rsid w:val="0524067A"/>
    <w:rsid w:val="05485881"/>
    <w:rsid w:val="0A806398"/>
    <w:rsid w:val="0B751B80"/>
    <w:rsid w:val="0D307327"/>
    <w:rsid w:val="0DBC505E"/>
    <w:rsid w:val="103D0AB9"/>
    <w:rsid w:val="126705D3"/>
    <w:rsid w:val="16377978"/>
    <w:rsid w:val="193B104B"/>
    <w:rsid w:val="1A85327B"/>
    <w:rsid w:val="1F23626A"/>
    <w:rsid w:val="212E7BC9"/>
    <w:rsid w:val="212F09D1"/>
    <w:rsid w:val="219914E7"/>
    <w:rsid w:val="25627E42"/>
    <w:rsid w:val="26325DAB"/>
    <w:rsid w:val="28892160"/>
    <w:rsid w:val="2AFE060C"/>
    <w:rsid w:val="2EE45D6B"/>
    <w:rsid w:val="2F11422A"/>
    <w:rsid w:val="33807D5E"/>
    <w:rsid w:val="35692F14"/>
    <w:rsid w:val="359B3A63"/>
    <w:rsid w:val="3E177F68"/>
    <w:rsid w:val="41B15CE2"/>
    <w:rsid w:val="43CC2BFE"/>
    <w:rsid w:val="45A32084"/>
    <w:rsid w:val="49A0660B"/>
    <w:rsid w:val="4A506A88"/>
    <w:rsid w:val="4B480BBA"/>
    <w:rsid w:val="4BBB616A"/>
    <w:rsid w:val="4EE80473"/>
    <w:rsid w:val="4F005E52"/>
    <w:rsid w:val="4F8B6B02"/>
    <w:rsid w:val="514D6A08"/>
    <w:rsid w:val="540909B7"/>
    <w:rsid w:val="558D59E5"/>
    <w:rsid w:val="57A77A48"/>
    <w:rsid w:val="58C566A6"/>
    <w:rsid w:val="5A922974"/>
    <w:rsid w:val="5B117589"/>
    <w:rsid w:val="5C0A0614"/>
    <w:rsid w:val="5E2F405E"/>
    <w:rsid w:val="5E722E03"/>
    <w:rsid w:val="5F4F6A72"/>
    <w:rsid w:val="60813506"/>
    <w:rsid w:val="631A1FB0"/>
    <w:rsid w:val="641B6CDA"/>
    <w:rsid w:val="65C26CE7"/>
    <w:rsid w:val="67FD7812"/>
    <w:rsid w:val="6A597A1A"/>
    <w:rsid w:val="6DEF198B"/>
    <w:rsid w:val="703E4ED1"/>
    <w:rsid w:val="776167A3"/>
    <w:rsid w:val="78803B7E"/>
    <w:rsid w:val="78E31B24"/>
    <w:rsid w:val="796556E5"/>
    <w:rsid w:val="796612EF"/>
    <w:rsid w:val="7AAC2680"/>
    <w:rsid w:val="7B841A35"/>
    <w:rsid w:val="7C0C6053"/>
    <w:rsid w:val="7C1E3C37"/>
    <w:rsid w:val="7E391DCD"/>
    <w:rsid w:val="7FE9652C"/>
    <w:rsid w:val="7FEB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9"/>
    <w:pPr>
      <w:keepNext/>
      <w:numPr>
        <w:ilvl w:val="0"/>
        <w:numId w:val="1"/>
      </w:numPr>
      <w:outlineLvl w:val="0"/>
    </w:pPr>
    <w:rPr>
      <w:rFonts w:ascii="Arial" w:hAnsi="Arial" w:eastAsia="黑体" w:cs="Arial"/>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autoRedefine/>
    <w:qFormat/>
    <w:uiPriority w:val="99"/>
    <w:pPr>
      <w:spacing w:before="580"/>
      <w:ind w:left="1730" w:right="1719"/>
      <w:jc w:val="center"/>
      <w:outlineLvl w:val="2"/>
    </w:pPr>
    <w:rPr>
      <w:rFonts w:ascii="宋体" w:hAnsi="宋体" w:cs="宋体"/>
      <w:sz w:val="28"/>
      <w:szCs w:val="28"/>
    </w:rPr>
  </w:style>
  <w:style w:type="paragraph" w:styleId="5">
    <w:name w:val="heading 4"/>
    <w:basedOn w:val="1"/>
    <w:next w:val="1"/>
    <w:autoRedefine/>
    <w:qFormat/>
    <w:uiPriority w:val="99"/>
    <w:pPr>
      <w:ind w:left="501"/>
      <w:outlineLvl w:val="3"/>
    </w:pPr>
    <w:rPr>
      <w:rFonts w:ascii="宋体" w:hAnsi="宋体" w:cs="宋体"/>
      <w:b/>
      <w:bCs/>
      <w:sz w:val="24"/>
      <w:szCs w:val="24"/>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99"/>
    <w:rPr>
      <w:rFonts w:ascii="宋体" w:hAnsi="宋体" w:cs="宋体"/>
      <w:sz w:val="24"/>
      <w:szCs w:val="24"/>
    </w:rPr>
  </w:style>
  <w:style w:type="paragraph" w:styleId="7">
    <w:name w:val="Date"/>
    <w:basedOn w:val="1"/>
    <w:next w:val="1"/>
    <w:autoRedefine/>
    <w:qFormat/>
    <w:uiPriority w:val="0"/>
    <w:pPr>
      <w:widowControl/>
      <w:ind w:left="100" w:leftChars="2500"/>
      <w:jc w:val="left"/>
    </w:pPr>
    <w:rPr>
      <w:rFonts w:eastAsia="楷体_GB2312" w:asciiTheme="minorHAnsi" w:hAnsiTheme="minorHAnsi"/>
      <w:sz w:val="24"/>
      <w:szCs w:val="22"/>
    </w:rPr>
  </w:style>
  <w:style w:type="paragraph" w:styleId="8">
    <w:name w:val="Body Text Indent"/>
    <w:basedOn w:val="1"/>
    <w:next w:val="9"/>
    <w:autoRedefine/>
    <w:qFormat/>
    <w:uiPriority w:val="99"/>
    <w:pPr>
      <w:ind w:left="69" w:leftChars="33" w:firstLine="466" w:firstLineChars="194"/>
    </w:pPr>
    <w:rPr>
      <w:rFonts w:ascii="Arial Narrow" w:hAnsi="Arial Narrow" w:cs="Arial Narrow"/>
      <w:kern w:val="0"/>
      <w:sz w:val="24"/>
      <w:szCs w:val="24"/>
    </w:rPr>
  </w:style>
  <w:style w:type="paragraph" w:styleId="9">
    <w:name w:val="envelope return"/>
    <w:basedOn w:val="1"/>
    <w:autoRedefine/>
    <w:qFormat/>
    <w:uiPriority w:val="99"/>
    <w:pPr>
      <w:snapToGrid w:val="0"/>
    </w:pPr>
    <w:rPr>
      <w:rFonts w:ascii="Arial" w:hAnsi="Arial" w:cs="Arial"/>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autoRedefine/>
    <w:semiHidden/>
    <w:qFormat/>
    <w:uiPriority w:val="99"/>
    <w:pPr>
      <w:spacing w:before="1"/>
      <w:ind w:left="921"/>
    </w:pPr>
    <w:rPr>
      <w:rFonts w:ascii="宋体" w:hAnsi="宋体" w:cs="宋体"/>
    </w:rPr>
  </w:style>
  <w:style w:type="paragraph" w:styleId="13">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6"/>
    <w:next w:val="1"/>
    <w:autoRedefine/>
    <w:qFormat/>
    <w:uiPriority w:val="99"/>
    <w:pPr>
      <w:autoSpaceDE w:val="0"/>
      <w:autoSpaceDN w:val="0"/>
      <w:adjustRightInd w:val="0"/>
      <w:spacing w:line="360" w:lineRule="auto"/>
      <w:ind w:right="-24" w:rightChars="-10" w:firstLine="425" w:firstLineChars="225"/>
    </w:pPr>
    <w:rPr>
      <w:rFonts w:ascii="Arial" w:hAnsi="Arial" w:eastAsia="仿宋_GB2312" w:cs="Arial"/>
      <w:kern w:val="0"/>
    </w:rPr>
  </w:style>
  <w:style w:type="paragraph" w:styleId="15">
    <w:name w:val="Body Text First Indent 2"/>
    <w:basedOn w:val="8"/>
    <w:next w:val="1"/>
    <w:autoRedefine/>
    <w:qFormat/>
    <w:uiPriority w:val="99"/>
    <w:pPr>
      <w:tabs>
        <w:tab w:val="left" w:pos="0"/>
        <w:tab w:val="left" w:pos="993"/>
        <w:tab w:val="left" w:pos="1134"/>
      </w:tabs>
      <w:ind w:firstLine="420" w:firstLineChars="200"/>
    </w:pPr>
  </w:style>
  <w:style w:type="paragraph" w:customStyle="1" w:styleId="18">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19">
    <w:name w:val="首行缩进"/>
    <w:basedOn w:val="1"/>
    <w:autoRedefine/>
    <w:qFormat/>
    <w:uiPriority w:val="0"/>
    <w:pPr>
      <w:ind w:firstLine="480" w:firstLineChars="200"/>
    </w:pPr>
    <w:rPr>
      <w:lang w:val="zh-CN"/>
    </w:rPr>
  </w:style>
  <w:style w:type="paragraph" w:styleId="20">
    <w:name w:val="List Paragraph"/>
    <w:basedOn w:val="1"/>
    <w:autoRedefine/>
    <w:qFormat/>
    <w:uiPriority w:val="99"/>
    <w:pPr>
      <w:ind w:left="501"/>
    </w:pPr>
    <w:rPr>
      <w:rFonts w:ascii="宋体" w:hAnsi="宋体" w:cs="宋体"/>
    </w:rPr>
  </w:style>
  <w:style w:type="paragraph" w:customStyle="1" w:styleId="21">
    <w:name w:val="Table Paragraph"/>
    <w:basedOn w:val="1"/>
    <w:autoRedefine/>
    <w:qFormat/>
    <w:uiPriority w:val="99"/>
    <w:rPr>
      <w:rFonts w:ascii="宋体" w:hAnsi="宋体" w:cs="宋体"/>
    </w:rPr>
  </w:style>
  <w:style w:type="paragraph" w:customStyle="1" w:styleId="22">
    <w:name w:val="p15"/>
    <w:basedOn w:val="1"/>
    <w:autoRedefine/>
    <w:qFormat/>
    <w:uiPriority w:val="99"/>
    <w:pPr>
      <w:widowControl/>
    </w:pPr>
    <w:rPr>
      <w:kern w:val="0"/>
    </w:rPr>
  </w:style>
  <w:style w:type="character" w:customStyle="1" w:styleId="23">
    <w:name w:val="标题 1 Char"/>
    <w:link w:val="2"/>
    <w:autoRedefine/>
    <w:qFormat/>
    <w:uiPriority w:val="0"/>
    <w:rPr>
      <w:rFonts w:ascii="Arial" w:hAnsi="Arial" w:eastAsia="黑体" w:cs="Arial"/>
      <w:sz w:val="44"/>
      <w:szCs w:val="44"/>
    </w:rPr>
  </w:style>
  <w:style w:type="paragraph" w:customStyle="1" w:styleId="24">
    <w:name w:val="Normal1"/>
    <w:autoRedefine/>
    <w:qFormat/>
    <w:uiPriority w:val="0"/>
    <w:pPr>
      <w:widowControl w:val="0"/>
      <w:adjustRightInd w:val="0"/>
      <w:spacing w:line="312" w:lineRule="atLeast"/>
      <w:jc w:val="both"/>
      <w:textAlignment w:val="baseline"/>
    </w:pPr>
    <w:rPr>
      <w:rFonts w:ascii="@仿宋_GB2312" w:hAnsi="@仿宋_GB2312" w:eastAsia="@仿宋_GB2312" w:cs="@仿宋_GB2312"/>
      <w:sz w:val="24"/>
      <w:lang w:val="en-US" w:eastAsia="zh-CN" w:bidi="ar-SA"/>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18252</Words>
  <Characters>21459</Characters>
  <Lines>0</Lines>
  <Paragraphs>0</Paragraphs>
  <TotalTime>3</TotalTime>
  <ScaleCrop>false</ScaleCrop>
  <LinksUpToDate>false</LinksUpToDate>
  <CharactersWithSpaces>23156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2023-10-18T02:58:00Z</dcterms:created>
  <dc:creator>岛是孤独</dc:creator>
  <cp:lastModifiedBy>岛是孤独</cp:lastModifiedBy>
  <dcterms:modified xsi:type="dcterms:W3CDTF">2024-02-29T06:41:30Z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E691DFF4036A4035A03DE2F043FCA363</vt:lpwstr>
  </property>
</Properties>
</file>