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outlineLvl w:val="9"/>
        <w:rPr>
          <w:rFonts w:hint="eastAsia"/>
          <w:color w:val="auto"/>
          <w:highlight w:val="none"/>
        </w:rPr>
      </w:pPr>
      <w:bookmarkStart w:id="0" w:name="_Toc9537"/>
      <w:bookmarkEnd w:id="0"/>
      <w:bookmarkStart w:id="1" w:name="_Toc31109"/>
      <w:bookmarkEnd w:id="1"/>
      <w:bookmarkStart w:id="2" w:name="_Toc2499"/>
      <w:bookmarkEnd w:id="2"/>
      <w:bookmarkStart w:id="3" w:name="_Toc19687"/>
      <w:bookmarkStart w:id="4" w:name="_Toc27821"/>
      <w:bookmarkStart w:id="5" w:name="_Toc32609"/>
    </w:p>
    <w:p>
      <w:pPr>
        <w:jc w:val="center"/>
        <w:outlineLvl w:val="0"/>
        <w:rPr>
          <w:rFonts w:hint="eastAsia" w:eastAsiaTheme="minorEastAsia"/>
          <w:color w:val="auto"/>
          <w:sz w:val="44"/>
          <w:szCs w:val="52"/>
          <w:highlight w:val="none"/>
          <w:lang w:eastAsia="zh-CN"/>
        </w:rPr>
      </w:pPr>
      <w:r>
        <w:rPr>
          <w:rFonts w:hint="eastAsia"/>
          <w:color w:val="auto"/>
          <w:sz w:val="44"/>
          <w:szCs w:val="52"/>
          <w:highlight w:val="none"/>
          <w:lang w:eastAsia="zh-CN"/>
        </w:rPr>
        <w:t>部分项目部灭火器欠压、过期需采购更新</w:t>
      </w:r>
    </w:p>
    <w:bookmarkEnd w:id="3"/>
    <w:bookmarkEnd w:id="4"/>
    <w:bookmarkEnd w:id="5"/>
    <w:p>
      <w:pPr>
        <w:bidi w:val="0"/>
        <w:outlineLvl w:val="9"/>
        <w:rPr>
          <w:color w:val="auto"/>
          <w:highlight w:val="none"/>
        </w:rPr>
      </w:pPr>
      <w:bookmarkStart w:id="6" w:name="_Toc9791"/>
      <w:bookmarkEnd w:id="6"/>
      <w:bookmarkStart w:id="7" w:name="_Toc144880747"/>
      <w:bookmarkStart w:id="8" w:name="_Toc24436"/>
      <w:bookmarkStart w:id="9" w:name="_Toc22216"/>
      <w:bookmarkStart w:id="10" w:name="_Toc144887137"/>
    </w:p>
    <w:p>
      <w:pPr>
        <w:pStyle w:val="27"/>
        <w:outlineLvl w:val="9"/>
        <w:rPr>
          <w:color w:val="auto"/>
          <w:highlight w:val="none"/>
        </w:rPr>
      </w:pPr>
    </w:p>
    <w:p>
      <w:pPr>
        <w:pStyle w:val="26"/>
        <w:outlineLvl w:val="9"/>
        <w:rPr>
          <w:color w:val="auto"/>
          <w:highlight w:val="none"/>
        </w:rPr>
      </w:pPr>
    </w:p>
    <w:p>
      <w:pPr>
        <w:jc w:val="center"/>
        <w:rPr>
          <w:rFonts w:hint="default"/>
          <w:b/>
          <w:bCs/>
          <w:color w:val="auto"/>
          <w:sz w:val="96"/>
          <w:szCs w:val="160"/>
          <w:highlight w:val="none"/>
        </w:rPr>
      </w:pPr>
      <w:bookmarkStart w:id="11" w:name="_Toc29215"/>
      <w:bookmarkStart w:id="12" w:name="_Toc8625"/>
      <w:r>
        <w:rPr>
          <w:b/>
          <w:bCs/>
          <w:color w:val="auto"/>
          <w:sz w:val="96"/>
          <w:szCs w:val="160"/>
          <w:highlight w:val="none"/>
        </w:rPr>
        <w:t>竞争性谈判文</w:t>
      </w:r>
      <w:r>
        <w:rPr>
          <w:rFonts w:hint="eastAsia"/>
          <w:b/>
          <w:bCs/>
          <w:color w:val="auto"/>
          <w:sz w:val="96"/>
          <w:szCs w:val="160"/>
          <w:highlight w:val="none"/>
          <w:lang w:val="en-US" w:eastAsia="zh-CN"/>
        </w:rPr>
        <w:t>件</w:t>
      </w:r>
      <w:bookmarkEnd w:id="7"/>
      <w:bookmarkEnd w:id="8"/>
      <w:bookmarkEnd w:id="9"/>
      <w:bookmarkEnd w:id="10"/>
      <w:bookmarkEnd w:id="11"/>
      <w:bookmarkEnd w:id="12"/>
    </w:p>
    <w:p>
      <w:pPr>
        <w:bidi w:val="0"/>
        <w:outlineLvl w:val="9"/>
        <w:rPr>
          <w:rFonts w:hint="eastAsia"/>
          <w:color w:val="auto"/>
          <w:highlight w:val="none"/>
        </w:rPr>
      </w:pPr>
    </w:p>
    <w:p>
      <w:pPr>
        <w:pStyle w:val="27"/>
        <w:outlineLvl w:val="9"/>
        <w:rPr>
          <w:rFonts w:hint="eastAsia"/>
          <w:color w:val="auto"/>
          <w:highlight w:val="none"/>
        </w:rPr>
      </w:pPr>
    </w:p>
    <w:p>
      <w:pPr>
        <w:pStyle w:val="27"/>
        <w:ind w:left="0" w:leftChars="0" w:firstLine="0" w:firstLineChars="0"/>
        <w:jc w:val="center"/>
        <w:outlineLvl w:val="9"/>
        <w:rPr>
          <w:rFonts w:hint="eastAsia" w:asciiTheme="minorEastAsia" w:hAnsiTheme="minorEastAsia" w:eastAsiaTheme="minorEastAsia" w:cstheme="minorEastAsia"/>
          <w:b w:val="0"/>
          <w:color w:val="auto"/>
          <w:sz w:val="36"/>
          <w:szCs w:val="36"/>
          <w:highlight w:val="none"/>
          <w:lang w:eastAsia="zh-CN"/>
        </w:rPr>
      </w:pPr>
      <w:r>
        <w:rPr>
          <w:rFonts w:hint="eastAsia" w:asciiTheme="minorEastAsia" w:hAnsiTheme="minorEastAsia" w:eastAsiaTheme="minorEastAsia" w:cstheme="minorEastAsia"/>
          <w:b w:val="0"/>
          <w:color w:val="auto"/>
          <w:sz w:val="36"/>
          <w:szCs w:val="36"/>
          <w:highlight w:val="none"/>
        </w:rPr>
        <w:t>项目编号：</w:t>
      </w:r>
      <w:r>
        <w:rPr>
          <w:rFonts w:hint="eastAsia" w:asciiTheme="minorEastAsia" w:hAnsiTheme="minorEastAsia" w:eastAsiaTheme="minorEastAsia" w:cstheme="minorEastAsia"/>
          <w:b w:val="0"/>
          <w:color w:val="auto"/>
          <w:sz w:val="36"/>
          <w:szCs w:val="36"/>
          <w:highlight w:val="none"/>
          <w:lang w:eastAsia="zh-CN"/>
        </w:rPr>
        <w:t>ATZB2024-035</w:t>
      </w:r>
    </w:p>
    <w:p>
      <w:pPr>
        <w:pStyle w:val="26"/>
        <w:outlineLvl w:val="9"/>
        <w:rPr>
          <w:rFonts w:hint="default"/>
          <w:color w:val="auto"/>
          <w:highlight w:val="none"/>
        </w:rPr>
      </w:pPr>
    </w:p>
    <w:p>
      <w:pPr>
        <w:jc w:val="center"/>
        <w:outlineLvl w:val="9"/>
        <w:rPr>
          <w:color w:val="auto"/>
          <w:highlight w:val="none"/>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pPr>
        <w:pStyle w:val="26"/>
        <w:ind w:left="0" w:leftChars="0" w:right="-21" w:firstLine="0" w:firstLineChars="0"/>
        <w:outlineLvl w:val="9"/>
        <w:rPr>
          <w:color w:val="auto"/>
          <w:highlight w:val="none"/>
        </w:rPr>
      </w:pPr>
    </w:p>
    <w:p>
      <w:pPr>
        <w:widowControl/>
        <w:spacing w:line="690" w:lineRule="atLeast"/>
        <w:ind w:firstLine="1897" w:firstLineChars="593"/>
        <w:outlineLvl w:val="9"/>
        <w:rPr>
          <w:rFonts w:hint="eastAsia" w:ascii="宋体" w:hAnsi="宋体" w:cs="宋体" w:eastAsiaTheme="minorEastAsia"/>
          <w:b w:val="0"/>
          <w:bCs w:val="0"/>
          <w:color w:val="auto"/>
          <w:kern w:val="0"/>
          <w:sz w:val="32"/>
          <w:szCs w:val="32"/>
          <w:highlight w:val="none"/>
          <w:u w:val="single"/>
          <w:lang w:eastAsia="zh-CN"/>
        </w:rPr>
      </w:pPr>
      <w:bookmarkStart w:id="13" w:name="_Toc12523"/>
      <w:bookmarkStart w:id="14" w:name="_Toc24755"/>
      <w:r>
        <w:rPr>
          <w:rFonts w:hint="eastAsia" w:ascii="宋体" w:hAnsi="宋体"/>
          <w:b w:val="0"/>
          <w:bCs w:val="0"/>
          <w:color w:val="auto"/>
          <w:sz w:val="32"/>
          <w:szCs w:val="32"/>
          <w:highlight w:val="none"/>
        </w:rPr>
        <w:t>采 购 人：</w:t>
      </w:r>
      <w:bookmarkEnd w:id="13"/>
      <w:bookmarkEnd w:id="14"/>
      <w:r>
        <w:rPr>
          <w:rFonts w:hint="eastAsia" w:ascii="宋体" w:hAnsi="宋体"/>
          <w:b w:val="0"/>
          <w:bCs w:val="0"/>
          <w:color w:val="auto"/>
          <w:sz w:val="32"/>
          <w:szCs w:val="32"/>
          <w:highlight w:val="none"/>
          <w:u w:val="single"/>
          <w:lang w:eastAsia="zh-CN"/>
        </w:rPr>
        <w:t>安徽惠群城市物业有限公司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采购代理：</w:t>
      </w:r>
      <w:r>
        <w:rPr>
          <w:rFonts w:hint="eastAsia" w:ascii="宋体" w:hAnsi="宋体"/>
          <w:b w:val="0"/>
          <w:bCs w:val="0"/>
          <w:color w:val="auto"/>
          <w:sz w:val="32"/>
          <w:szCs w:val="32"/>
          <w:highlight w:val="none"/>
          <w:u w:val="single"/>
        </w:rPr>
        <w:t>淮南市安泰工程咨询有限公司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日    期：</w:t>
      </w:r>
      <w:r>
        <w:rPr>
          <w:rFonts w:hint="eastAsia" w:ascii="宋体" w:hAnsi="宋体"/>
          <w:b w:val="0"/>
          <w:bCs w:val="0"/>
          <w:color w:val="auto"/>
          <w:sz w:val="32"/>
          <w:szCs w:val="32"/>
          <w:highlight w:val="none"/>
          <w:u w:val="single"/>
        </w:rPr>
        <w:t>202</w:t>
      </w:r>
      <w:r>
        <w:rPr>
          <w:rFonts w:hint="eastAsia" w:ascii="宋体" w:hAnsi="宋体"/>
          <w:b w:val="0"/>
          <w:bCs w:val="0"/>
          <w:color w:val="auto"/>
          <w:sz w:val="32"/>
          <w:szCs w:val="32"/>
          <w:highlight w:val="none"/>
          <w:u w:val="single"/>
          <w:lang w:val="en-US" w:eastAsia="zh-CN"/>
        </w:rPr>
        <w:t>4</w:t>
      </w:r>
      <w:r>
        <w:rPr>
          <w:rFonts w:hint="eastAsia" w:ascii="宋体" w:hAnsi="宋体"/>
          <w:b w:val="0"/>
          <w:bCs w:val="0"/>
          <w:color w:val="auto"/>
          <w:sz w:val="32"/>
          <w:szCs w:val="32"/>
          <w:highlight w:val="none"/>
          <w:u w:val="single"/>
        </w:rPr>
        <w:t>年</w:t>
      </w:r>
      <w:r>
        <w:rPr>
          <w:rFonts w:hint="eastAsia" w:ascii="宋体" w:hAnsi="宋体"/>
          <w:b w:val="0"/>
          <w:bCs w:val="0"/>
          <w:color w:val="auto"/>
          <w:sz w:val="32"/>
          <w:szCs w:val="32"/>
          <w:highlight w:val="none"/>
          <w:u w:val="single"/>
          <w:lang w:val="en-US" w:eastAsia="zh-CN"/>
        </w:rPr>
        <w:t>5</w:t>
      </w:r>
      <w:r>
        <w:rPr>
          <w:rFonts w:hint="eastAsia" w:ascii="宋体" w:hAnsi="宋体"/>
          <w:b w:val="0"/>
          <w:bCs w:val="0"/>
          <w:color w:val="auto"/>
          <w:sz w:val="32"/>
          <w:szCs w:val="32"/>
          <w:highlight w:val="none"/>
          <w:u w:val="single"/>
        </w:rPr>
        <w:t>月</w:t>
      </w:r>
    </w:p>
    <w:p>
      <w:pPr>
        <w:pStyle w:val="7"/>
        <w:spacing w:line="720" w:lineRule="auto"/>
        <w:jc w:val="center"/>
        <w:outlineLvl w:val="9"/>
        <w:rPr>
          <w:rFonts w:ascii="黑体" w:hAnsi="黑体" w:eastAsia="黑体" w:cs="宋体"/>
          <w:b/>
          <w:bCs/>
          <w:color w:val="auto"/>
          <w:sz w:val="44"/>
          <w:szCs w:val="44"/>
          <w:highlight w:val="none"/>
        </w:rPr>
      </w:pPr>
    </w:p>
    <w:p>
      <w:pPr>
        <w:outlineLvl w:val="9"/>
        <w:rPr>
          <w:color w:val="auto"/>
          <w:highlight w:val="none"/>
        </w:rPr>
      </w:pPr>
    </w:p>
    <w:p>
      <w:pPr>
        <w:pStyle w:val="27"/>
        <w:outlineLvl w:val="9"/>
        <w:rPr>
          <w:color w:val="auto"/>
          <w:highlight w:val="none"/>
        </w:rPr>
      </w:pPr>
    </w:p>
    <w:p>
      <w:pPr>
        <w:pStyle w:val="27"/>
        <w:ind w:firstLine="440"/>
        <w:outlineLvl w:val="9"/>
        <w:rPr>
          <w:rFonts w:eastAsiaTheme="minorEastAsia"/>
          <w:color w:val="auto"/>
          <w:highlight w:val="none"/>
        </w:rPr>
      </w:pPr>
    </w:p>
    <w:p>
      <w:pPr>
        <w:spacing w:before="0" w:beforeLines="0" w:after="0" w:afterLines="0" w:line="240" w:lineRule="auto"/>
        <w:ind w:left="0" w:leftChars="0" w:right="0" w:rightChars="0" w:firstLine="0" w:firstLineChars="0"/>
        <w:jc w:val="center"/>
        <w:outlineLvl w:val="9"/>
        <w:rPr>
          <w:rFonts w:ascii="宋体" w:hAnsi="宋体" w:eastAsia="宋体" w:cstheme="minorBidi"/>
          <w:color w:val="auto"/>
          <w:kern w:val="2"/>
          <w:sz w:val="21"/>
          <w:szCs w:val="24"/>
          <w:highlight w:val="none"/>
          <w:lang w:val="en-US" w:eastAsia="zh-CN" w:bidi="ar-SA"/>
        </w:rPr>
      </w:pPr>
    </w:p>
    <w:p>
      <w:pPr>
        <w:pStyle w:val="27"/>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sdt>
      <w:sdtPr>
        <w:rPr>
          <w:rFonts w:ascii="宋体" w:hAnsi="宋体" w:eastAsia="宋体" w:cstheme="minorBidi"/>
          <w:color w:val="auto"/>
          <w:kern w:val="2"/>
          <w:sz w:val="21"/>
          <w:szCs w:val="24"/>
          <w:highlight w:val="none"/>
          <w:lang w:val="en-US" w:eastAsia="zh-CN" w:bidi="ar-SA"/>
        </w:rPr>
        <w:id w:val="147466689"/>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_Toc30610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_Toc9758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第二章 供应商须知前附表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_Toc9758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_Toc17955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_Toc17955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_Toc3469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_Toc3469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_Toc405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五</w:t>
          </w:r>
          <w:r>
            <w:rPr>
              <w:rFonts w:hint="eastAsia" w:ascii="宋体" w:hAnsi="宋体" w:eastAsia="宋体" w:cs="宋体"/>
              <w:bCs w:val="0"/>
              <w:color w:val="auto"/>
              <w:sz w:val="28"/>
              <w:szCs w:val="28"/>
              <w:highlight w:val="none"/>
            </w:rPr>
            <w:t>章 合同协议书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_Toc17559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_Toc17559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_Toc25710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 第二轮报价表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26"/>
            <w:ind w:left="0" w:leftChars="0"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bookmarkStart w:id="15" w:name="_Toc144887139"/>
      <w:bookmarkStart w:id="16" w:name="_Toc18218"/>
      <w:bookmarkStart w:id="17" w:name="_Toc16672"/>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sectPr>
          <w:footerReference r:id="rId3" w:type="default"/>
          <w:footerReference r:id="rId4" w:type="even"/>
          <w:type w:val="continuous"/>
          <w:pgSz w:w="11906" w:h="16838"/>
          <w:pgMar w:top="1440" w:right="1080" w:bottom="1440" w:left="1080" w:header="851" w:footer="907" w:gutter="0"/>
          <w:pgNumType w:fmt="decimal" w:start="1"/>
          <w:cols w:space="720" w:num="1"/>
          <w:docGrid w:type="lines" w:linePitch="312" w:charSpace="0"/>
        </w:sectPr>
      </w:pPr>
    </w:p>
    <w:p>
      <w:pPr>
        <w:jc w:val="center"/>
        <w:rPr>
          <w:rFonts w:hint="default"/>
          <w:color w:val="auto"/>
          <w:sz w:val="44"/>
          <w:szCs w:val="52"/>
          <w:highlight w:val="none"/>
        </w:rPr>
      </w:pPr>
      <w:bookmarkStart w:id="18" w:name="_Toc30610"/>
      <w:r>
        <w:rPr>
          <w:rFonts w:hint="default"/>
          <w:color w:val="auto"/>
          <w:sz w:val="44"/>
          <w:szCs w:val="52"/>
          <w:highlight w:val="none"/>
        </w:rPr>
        <w:t xml:space="preserve">第一章 </w:t>
      </w:r>
      <w:bookmarkEnd w:id="15"/>
      <w:bookmarkEnd w:id="16"/>
      <w:bookmarkEnd w:id="17"/>
      <w:bookmarkStart w:id="19" w:name="_Toc28359011"/>
      <w:bookmarkStart w:id="20" w:name="_Toc35393797"/>
      <w:bookmarkStart w:id="21" w:name="_Toc18025"/>
      <w:r>
        <w:rPr>
          <w:color w:val="auto"/>
          <w:sz w:val="44"/>
          <w:szCs w:val="52"/>
          <w:highlight w:val="none"/>
        </w:rPr>
        <w:t>竞争性谈判</w:t>
      </w:r>
      <w:r>
        <w:rPr>
          <w:rFonts w:hint="default"/>
          <w:color w:val="auto"/>
          <w:sz w:val="44"/>
          <w:szCs w:val="52"/>
          <w:highlight w:val="none"/>
        </w:rPr>
        <w:t>公告</w:t>
      </w:r>
      <w:bookmarkEnd w:id="18"/>
    </w:p>
    <w:p>
      <w:pPr>
        <w:pStyle w:val="25"/>
        <w:wordWrap w:val="0"/>
        <w:spacing w:beforeAutospacing="0" w:afterAutospacing="0" w:line="500" w:lineRule="atLeast"/>
        <w:jc w:val="center"/>
        <w:outlineLvl w:val="9"/>
        <w:rPr>
          <w:color w:val="auto"/>
          <w:sz w:val="21"/>
          <w:szCs w:val="20"/>
          <w:highlight w:val="none"/>
        </w:rPr>
      </w:pPr>
      <w:bookmarkStart w:id="22" w:name="第一章__磋商公告"/>
      <w:bookmarkEnd w:id="22"/>
      <w:bookmarkStart w:id="23" w:name="_bookmark0"/>
      <w:bookmarkEnd w:id="23"/>
      <w:r>
        <w:rPr>
          <w:rFonts w:hint="eastAsia" w:ascii="华文中宋" w:hAnsi="华文中宋" w:eastAsia="华文中宋"/>
          <w:b/>
          <w:bCs/>
          <w:color w:val="auto"/>
          <w:kern w:val="2"/>
          <w:sz w:val="36"/>
          <w:szCs w:val="36"/>
          <w:highlight w:val="none"/>
          <w:lang w:eastAsia="zh-CN"/>
        </w:rPr>
        <w:t>部分项目部灭火器欠压、过期需采购更新</w:t>
      </w:r>
      <w:r>
        <w:rPr>
          <w:rFonts w:hint="eastAsia" w:ascii="华文中宋" w:hAnsi="华文中宋" w:eastAsia="华文中宋"/>
          <w:b/>
          <w:bCs/>
          <w:color w:val="auto"/>
          <w:kern w:val="2"/>
          <w:sz w:val="36"/>
          <w:szCs w:val="36"/>
          <w:highlight w:val="none"/>
        </w:rPr>
        <w:t>（</w:t>
      </w:r>
      <w:r>
        <w:rPr>
          <w:rFonts w:hint="eastAsia" w:ascii="华文中宋" w:hAnsi="华文中宋" w:eastAsia="华文中宋"/>
          <w:b/>
          <w:bCs/>
          <w:color w:val="auto"/>
          <w:kern w:val="2"/>
          <w:sz w:val="36"/>
          <w:szCs w:val="36"/>
          <w:highlight w:val="none"/>
          <w:lang w:val="en-US" w:eastAsia="zh-CN"/>
        </w:rPr>
        <w:t>一</w:t>
      </w:r>
      <w:r>
        <w:rPr>
          <w:rFonts w:hint="eastAsia" w:ascii="华文中宋" w:hAnsi="华文中宋" w:eastAsia="华文中宋"/>
          <w:b/>
          <w:bCs/>
          <w:color w:val="auto"/>
          <w:kern w:val="2"/>
          <w:sz w:val="36"/>
          <w:szCs w:val="36"/>
          <w:highlight w:val="none"/>
        </w:rPr>
        <w:t>次）竞争性谈判公告</w:t>
      </w:r>
    </w:p>
    <w:bookmarkEnd w:id="19"/>
    <w:bookmarkEnd w:id="20"/>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outlineLvl w:val="9"/>
        <w:rPr>
          <w:rFonts w:hint="eastAsia" w:ascii="仿宋" w:hAnsi="仿宋" w:eastAsia="仿宋" w:cs="仿宋"/>
          <w:color w:val="auto"/>
          <w:sz w:val="28"/>
          <w:szCs w:val="28"/>
          <w:highlight w:val="none"/>
          <w:lang w:val="en-US" w:eastAsia="zh-CN"/>
        </w:rPr>
      </w:pPr>
      <w:bookmarkStart w:id="24" w:name="_Toc28359089"/>
      <w:bookmarkStart w:id="25" w:name="_Toc35393629"/>
      <w:bookmarkStart w:id="26" w:name="_Toc35393798"/>
      <w:bookmarkStart w:id="27" w:name="_Toc28359012"/>
      <w:r>
        <w:rPr>
          <w:rFonts w:hint="eastAsia" w:ascii="仿宋" w:hAnsi="仿宋" w:eastAsia="仿宋" w:cs="仿宋"/>
          <w:color w:val="auto"/>
          <w:sz w:val="28"/>
          <w:szCs w:val="28"/>
          <w:highlight w:val="none"/>
          <w:lang w:val="en-US" w:eastAsia="zh-CN"/>
        </w:rPr>
        <w:t> </w:t>
      </w:r>
    </w:p>
    <w:p>
      <w:pPr>
        <w:keepNext w:val="0"/>
        <w:keepLines w:val="0"/>
        <w:pageBreakBefore w:val="0"/>
        <w:widowControl w:val="0"/>
        <w:kinsoku/>
        <w:wordWrap w:val="0"/>
        <w:overflowPunct/>
        <w:topLinePunct w:val="0"/>
        <w:autoSpaceDE/>
        <w:autoSpaceDN/>
        <w:bidi w:val="0"/>
        <w:adjustRightInd/>
        <w:snapToGrid w:val="0"/>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 w:hAnsi="仿宋" w:eastAsia="仿宋" w:cs="仿宋"/>
          <w:color w:val="auto"/>
          <w:sz w:val="28"/>
          <w:szCs w:val="28"/>
          <w:highlight w:val="none"/>
          <w:u w:val="single"/>
          <w:lang w:val="en-US" w:eastAsia="zh-CN"/>
        </w:rPr>
        <w:t>部分项目部灭火器欠压、过期需采购更新</w:t>
      </w:r>
      <w:r>
        <w:rPr>
          <w:rFonts w:hint="eastAsia" w:ascii="仿宋" w:hAnsi="仿宋" w:eastAsia="仿宋" w:cs="仿宋"/>
          <w:color w:val="auto"/>
          <w:sz w:val="28"/>
          <w:szCs w:val="28"/>
          <w:highlight w:val="none"/>
          <w:lang w:val="en-US" w:eastAsia="zh-CN"/>
        </w:rPr>
        <w:t>的潜在供应商应在</w:t>
      </w:r>
      <w:r>
        <w:rPr>
          <w:rFonts w:hint="eastAsia" w:ascii="仿宋" w:hAnsi="仿宋" w:eastAsia="仿宋" w:cs="仿宋"/>
          <w:color w:val="auto"/>
          <w:sz w:val="28"/>
          <w:szCs w:val="28"/>
          <w:highlight w:val="none"/>
          <w:u w:val="single"/>
          <w:lang w:val="en-US" w:eastAsia="zh-CN"/>
        </w:rPr>
        <w:t>安徽惠群城市物业有限公司官网（https://www.anhuihuiqun.com/）</w:t>
      </w:r>
      <w:r>
        <w:rPr>
          <w:rFonts w:hint="eastAsia" w:ascii="仿宋" w:hAnsi="仿宋" w:eastAsia="仿宋" w:cs="仿宋"/>
          <w:color w:val="auto"/>
          <w:sz w:val="28"/>
          <w:szCs w:val="28"/>
          <w:highlight w:val="none"/>
          <w:lang w:val="en-US" w:eastAsia="zh-CN"/>
        </w:rPr>
        <w:t>获取谈判文件，并于</w:t>
      </w:r>
      <w:r>
        <w:rPr>
          <w:rFonts w:hint="eastAsia" w:ascii="仿宋" w:hAnsi="仿宋" w:eastAsia="仿宋" w:cs="仿宋"/>
          <w:color w:val="auto"/>
          <w:sz w:val="28"/>
          <w:szCs w:val="28"/>
          <w:highlight w:val="none"/>
          <w:u w:val="single"/>
          <w:lang w:val="en-US" w:eastAsia="zh-CN"/>
        </w:rPr>
        <w:t>2024年05月28日15点00分</w:t>
      </w:r>
      <w:r>
        <w:rPr>
          <w:rFonts w:hint="eastAsia" w:ascii="仿宋" w:hAnsi="仿宋" w:eastAsia="仿宋" w:cs="仿宋"/>
          <w:color w:val="auto"/>
          <w:sz w:val="28"/>
          <w:szCs w:val="28"/>
          <w:highlight w:val="none"/>
          <w:lang w:val="en-US" w:eastAsia="zh-CN"/>
        </w:rPr>
        <w:t>（北京时间）前提交响应文件。</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9"/>
          <w:rFonts w:hint="eastAsia" w:ascii="仿宋" w:hAnsi="仿宋" w:eastAsia="仿宋" w:cs="仿宋"/>
          <w:color w:val="auto"/>
          <w:sz w:val="28"/>
          <w:szCs w:val="28"/>
          <w:highlight w:val="none"/>
          <w:u w:val="none"/>
        </w:rPr>
        <w:t>ATZB2024-035</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Style w:val="49"/>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Style w:val="49"/>
          <w:rFonts w:hint="eastAsia" w:ascii="仿宋" w:hAnsi="仿宋" w:eastAsia="仿宋" w:cs="仿宋"/>
          <w:color w:val="auto"/>
          <w:sz w:val="28"/>
          <w:szCs w:val="28"/>
          <w:highlight w:val="none"/>
          <w:u w:val="none"/>
        </w:rPr>
        <w:t>部分项目部灭火器欠压、过期需采购更新</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预算金额：</w:t>
      </w:r>
      <w:r>
        <w:rPr>
          <w:rStyle w:val="49"/>
          <w:rFonts w:hint="eastAsia" w:ascii="仿宋" w:hAnsi="仿宋" w:eastAsia="仿宋" w:cs="仿宋"/>
          <w:color w:val="auto"/>
          <w:sz w:val="28"/>
          <w:szCs w:val="28"/>
          <w:highlight w:val="none"/>
          <w:u w:val="none"/>
        </w:rPr>
        <w:t>147510.00元，</w:t>
      </w:r>
      <w:r>
        <w:rPr>
          <w:rStyle w:val="49"/>
          <w:rFonts w:hint="eastAsia" w:ascii="仿宋" w:hAnsi="仿宋" w:eastAsia="仿宋" w:cs="仿宋"/>
          <w:color w:val="auto"/>
          <w:sz w:val="28"/>
          <w:szCs w:val="28"/>
          <w:highlight w:val="none"/>
          <w:u w:val="none"/>
          <w:lang w:val="en-US"/>
        </w:rPr>
        <w:t>自筹资金</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9"/>
          <w:rFonts w:hint="eastAsia" w:ascii="仿宋" w:hAnsi="仿宋" w:eastAsia="仿宋" w:cs="仿宋"/>
          <w:color w:val="auto"/>
          <w:sz w:val="28"/>
          <w:szCs w:val="28"/>
          <w:highlight w:val="none"/>
          <w:u w:val="none"/>
        </w:rPr>
        <w:t>147510.00元</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干粉灭火器</w:t>
      </w:r>
      <w:r>
        <w:rPr>
          <w:rFonts w:hint="eastAsia" w:ascii="仿宋" w:hAnsi="仿宋" w:eastAsia="仿宋" w:cs="仿宋"/>
          <w:color w:val="auto"/>
          <w:sz w:val="28"/>
          <w:szCs w:val="28"/>
          <w:highlight w:val="none"/>
          <w:lang w:val="en-US" w:eastAsia="zh-CN"/>
        </w:rPr>
        <w:t>采购。</w:t>
      </w:r>
    </w:p>
    <w:p>
      <w:pPr>
        <w:pStyle w:val="25"/>
        <w:keepNext w:val="0"/>
        <w:keepLines w:val="0"/>
        <w:pageBreakBefore w:val="0"/>
        <w:shd w:val="clear" w:color="auto" w:fill="FFFFFF" w:themeFill="background1"/>
        <w:kinsoku/>
        <w:wordWrap w:val="0"/>
        <w:overflowPunct/>
        <w:topLinePunct/>
        <w:autoSpaceDN/>
        <w:bidi w:val="0"/>
        <w:adjustRightInd/>
        <w:snapToGrid/>
        <w:spacing w:before="95" w:beforeLines="30" w:beforeAutospacing="0" w:after="95" w:afterLines="30" w:afterAutospacing="0" w:line="360" w:lineRule="exact"/>
        <w:ind w:firstLine="561"/>
        <w:rPr>
          <w:rStyle w:val="49"/>
          <w:rFonts w:hint="default" w:ascii="仿宋" w:hAnsi="仿宋" w:eastAsia="仿宋" w:cs="仿宋"/>
          <w:color w:val="auto"/>
          <w:sz w:val="28"/>
          <w:szCs w:val="28"/>
          <w:highlight w:val="none"/>
          <w:lang w:val="en-US"/>
        </w:rPr>
      </w:pPr>
      <w:r>
        <w:rPr>
          <w:rStyle w:val="49"/>
          <w:rFonts w:hint="eastAsia" w:ascii="仿宋" w:hAnsi="仿宋" w:eastAsia="仿宋" w:cs="仿宋"/>
          <w:color w:val="auto"/>
          <w:sz w:val="28"/>
          <w:szCs w:val="28"/>
          <w:highlight w:val="none"/>
          <w:lang w:val="en-US"/>
        </w:rPr>
        <w:t>每批（次）供货期限</w:t>
      </w:r>
      <w:r>
        <w:rPr>
          <w:rStyle w:val="49"/>
          <w:rFonts w:hint="eastAsia" w:ascii="仿宋" w:hAnsi="仿宋" w:eastAsia="仿宋" w:cs="仿宋"/>
          <w:color w:val="auto"/>
          <w:sz w:val="28"/>
          <w:szCs w:val="28"/>
          <w:highlight w:val="none"/>
        </w:rPr>
        <w:t>：</w:t>
      </w:r>
      <w:r>
        <w:rPr>
          <w:rStyle w:val="49"/>
          <w:rFonts w:hint="eastAsia" w:ascii="仿宋" w:hAnsi="仿宋" w:eastAsia="仿宋" w:cs="仿宋"/>
          <w:color w:val="auto"/>
          <w:sz w:val="28"/>
          <w:szCs w:val="28"/>
          <w:highlight w:val="none"/>
          <w:lang w:val="en-US"/>
        </w:rPr>
        <w:t>接到采购人通知后30</w:t>
      </w:r>
      <w:r>
        <w:rPr>
          <w:rStyle w:val="49"/>
          <w:rFonts w:hint="eastAsia" w:ascii="仿宋" w:hAnsi="仿宋" w:eastAsia="仿宋" w:cs="仿宋"/>
          <w:color w:val="auto"/>
          <w:sz w:val="28"/>
          <w:szCs w:val="28"/>
          <w:highlight w:val="none"/>
        </w:rPr>
        <w:t>日</w:t>
      </w:r>
      <w:r>
        <w:rPr>
          <w:rStyle w:val="49"/>
          <w:rFonts w:hint="eastAsia" w:ascii="仿宋" w:hAnsi="仿宋" w:eastAsia="仿宋" w:cs="仿宋"/>
          <w:color w:val="auto"/>
          <w:sz w:val="28"/>
          <w:szCs w:val="28"/>
          <w:highlight w:val="none"/>
          <w:lang w:val="en-US"/>
        </w:rPr>
        <w:t>内完成供货</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9"/>
          <w:rFonts w:hint="eastAsia" w:ascii="仿宋" w:hAnsi="仿宋" w:eastAsia="仿宋" w:cs="仿宋"/>
          <w:color w:val="auto"/>
          <w:sz w:val="28"/>
          <w:szCs w:val="28"/>
          <w:highlight w:val="none"/>
        </w:rPr>
        <w:t>否</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28" w:name="_Toc35393630"/>
      <w:bookmarkStart w:id="29" w:name="_Toc28359090"/>
      <w:bookmarkStart w:id="30" w:name="_Toc35393799"/>
      <w:bookmarkStart w:id="31" w:name="_Toc28359013"/>
      <w:r>
        <w:rPr>
          <w:rFonts w:hint="eastAsia" w:ascii="黑体" w:hAnsi="黑体" w:eastAsia="黑体" w:cs="黑体"/>
          <w:color w:val="auto"/>
          <w:sz w:val="28"/>
          <w:szCs w:val="28"/>
          <w:highlight w:val="none"/>
        </w:rPr>
        <w:t>申请人的资格要求</w:t>
      </w:r>
      <w:bookmarkEnd w:id="28"/>
      <w:bookmarkEnd w:id="29"/>
      <w:bookmarkEnd w:id="30"/>
      <w:bookmarkEnd w:id="31"/>
      <w:bookmarkStart w:id="32" w:name="_Toc28359091"/>
      <w:bookmarkStart w:id="33" w:name="_Toc28359014"/>
    </w:p>
    <w:p>
      <w:pPr>
        <w:pStyle w:val="27"/>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1.投标供应商应具有有效的营业执照（企业或个体工商户均可）</w:t>
      </w:r>
    </w:p>
    <w:p>
      <w:pPr>
        <w:pStyle w:val="27"/>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2.本项目的特定资格要求：无</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获取谈判文件</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获取时间：自公告发布之日起至2024年05月28日15点00分</w:t>
      </w:r>
      <w:r>
        <w:rPr>
          <w:rFonts w:hint="eastAsia" w:ascii="仿宋" w:hAnsi="仿宋" w:eastAsia="仿宋" w:cstheme="minorEastAsia"/>
          <w:color w:val="auto"/>
          <w:sz w:val="28"/>
          <w:szCs w:val="28"/>
          <w:highlight w:val="none"/>
        </w:rPr>
        <w:t>（北京时间）</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获取地点：网上获取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获取方式：安徽惠群城市物业有限公司官网（https://www.anhuihuiqun.com/）下载。</w:t>
      </w:r>
    </w:p>
    <w:bookmarkEnd w:id="32"/>
    <w:bookmarkEnd w:id="33"/>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bookmarkStart w:id="34" w:name="_Toc35393801"/>
      <w:bookmarkStart w:id="35" w:name="_Toc35393632"/>
      <w:bookmarkStart w:id="36" w:name="_Toc28359092"/>
      <w:bookmarkStart w:id="37" w:name="_Toc28359015"/>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响应文件提交</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bookmarkStart w:id="38" w:name="_Toc28359016"/>
      <w:bookmarkStart w:id="39" w:name="_Toc35393633"/>
      <w:bookmarkStart w:id="40" w:name="_Toc35393802"/>
      <w:bookmarkStart w:id="41" w:name="_Toc28359093"/>
      <w:r>
        <w:rPr>
          <w:rFonts w:hint="eastAsia" w:ascii="仿宋" w:hAnsi="仿宋" w:eastAsia="仿宋" w:cstheme="minorEastAsia"/>
          <w:color w:val="auto"/>
          <w:sz w:val="28"/>
          <w:szCs w:val="28"/>
          <w:highlight w:val="none"/>
        </w:rPr>
        <w:t>截止时间：</w:t>
      </w:r>
      <w:r>
        <w:rPr>
          <w:rFonts w:hint="eastAsia" w:ascii="仿宋" w:hAnsi="仿宋" w:eastAsia="仿宋" w:cstheme="minorEastAsia"/>
          <w:color w:val="auto"/>
          <w:sz w:val="28"/>
          <w:szCs w:val="28"/>
          <w:highlight w:val="none"/>
          <w:lang w:eastAsia="zh-CN"/>
        </w:rPr>
        <w:t>2024年05月28日15点00分</w:t>
      </w:r>
      <w:r>
        <w:rPr>
          <w:rFonts w:hint="eastAsia" w:ascii="仿宋" w:hAnsi="仿宋" w:eastAsia="仿宋" w:cstheme="minorEastAsia"/>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地点：淮南市安泰工程咨询有限公司二楼开标室（原淮南市房地产管理局市直机关房管所）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开启</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jc w:val="left"/>
        <w:textAlignment w:val="auto"/>
        <w:outlineLvl w:val="9"/>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时间：</w:t>
      </w:r>
      <w:r>
        <w:rPr>
          <w:rFonts w:hint="eastAsia" w:ascii="仿宋" w:hAnsi="仿宋" w:eastAsia="仿宋" w:cstheme="minorEastAsia"/>
          <w:color w:val="auto"/>
          <w:sz w:val="28"/>
          <w:szCs w:val="28"/>
          <w:highlight w:val="none"/>
          <w:lang w:eastAsia="zh-CN"/>
        </w:rPr>
        <w:t>2024年05月28日15点00分</w:t>
      </w:r>
      <w:r>
        <w:rPr>
          <w:rFonts w:hint="eastAsia" w:ascii="仿宋" w:hAnsi="仿宋" w:eastAsia="仿宋" w:cstheme="minorEastAsia"/>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_GB2312" w:hAnsi="仿宋" w:eastAsia="仿宋_GB2312" w:cs="仿宋"/>
          <w:color w:val="auto"/>
          <w:sz w:val="28"/>
          <w:szCs w:val="28"/>
          <w:highlight w:val="none"/>
        </w:rPr>
        <w:t>地点：</w:t>
      </w:r>
      <w:r>
        <w:rPr>
          <w:rFonts w:hint="eastAsia" w:ascii="仿宋" w:hAnsi="仿宋" w:eastAsia="仿宋" w:cstheme="minorEastAsia"/>
          <w:color w:val="auto"/>
          <w:sz w:val="28"/>
          <w:szCs w:val="28"/>
          <w:highlight w:val="none"/>
        </w:rPr>
        <w:t>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自本公告发布之日起3个工作日。</w:t>
      </w:r>
      <w:bookmarkStart w:id="42" w:name="_Toc35393804"/>
      <w:bookmarkStart w:id="43" w:name="_Toc35393635"/>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七、其他补充事宜</w:t>
      </w:r>
      <w:bookmarkEnd w:id="42"/>
      <w:bookmarkEnd w:id="43"/>
    </w:p>
    <w:p>
      <w:pPr>
        <w:pStyle w:val="27"/>
        <w:keepNext w:val="0"/>
        <w:keepLines w:val="0"/>
        <w:pageBreakBefore w:val="0"/>
        <w:widowControl w:val="0"/>
        <w:kinsoku/>
        <w:overflowPunct/>
        <w:topLinePunct w:val="0"/>
        <w:bidi w:val="0"/>
        <w:spacing w:before="95" w:beforeLines="30" w:after="95" w:afterLines="30" w:line="360" w:lineRule="exact"/>
        <w:ind w:left="0" w:leftChars="0" w:firstLine="560" w:firstLineChars="200"/>
        <w:textAlignment w:val="auto"/>
        <w:outlineLvl w:val="9"/>
        <w:rPr>
          <w:rFonts w:hint="eastAsia" w:ascii="仿宋" w:hAnsi="仿宋" w:eastAsia="仿宋" w:cs="仿宋"/>
          <w:color w:val="auto"/>
          <w:kern w:val="2"/>
          <w:sz w:val="28"/>
          <w:szCs w:val="28"/>
          <w:highlight w:val="none"/>
          <w:shd w:val="clear" w:color="auto" w:fill="FFFFFF"/>
          <w:lang w:val="en-US" w:eastAsia="zh-CN" w:bidi="ar-SA"/>
        </w:rPr>
      </w:pPr>
      <w:r>
        <w:rPr>
          <w:rFonts w:hint="eastAsia" w:ascii="仿宋" w:hAnsi="仿宋" w:eastAsia="仿宋" w:cs="仿宋"/>
          <w:color w:val="auto"/>
          <w:kern w:val="2"/>
          <w:sz w:val="28"/>
          <w:szCs w:val="28"/>
          <w:highlight w:val="none"/>
          <w:shd w:val="clear" w:color="auto" w:fill="FFFFFF"/>
          <w:lang w:val="en-US" w:eastAsia="zh-CN" w:bidi="ar-SA"/>
        </w:rPr>
        <w:t>1.关于本项目的发布、变更、答疑等信息将在安徽惠群城市物业有限公司官网（https://www.anhuihuiqun.com/）发布。供应商须随时关注该项目信息动态，如因关注不及时错过信息下载，责任自行承担。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Style w:val="49"/>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本项目免收谈判保证金。</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44" w:name="_Toc28359095"/>
      <w:bookmarkStart w:id="45" w:name="_Toc35393636"/>
      <w:bookmarkStart w:id="46" w:name="_Toc28359018"/>
      <w:bookmarkStart w:id="47" w:name="_Toc35393805"/>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凡对本次采购提出询问，请按以下方式联系。</w:t>
      </w:r>
      <w:bookmarkEnd w:id="44"/>
      <w:bookmarkEnd w:id="45"/>
      <w:bookmarkEnd w:id="46"/>
      <w:bookmarkEnd w:id="47"/>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1.</w:t>
      </w:r>
      <w:r>
        <w:rPr>
          <w:rStyle w:val="49"/>
          <w:rFonts w:hint="eastAsia" w:ascii="仿宋" w:hAnsi="仿宋" w:eastAsia="仿宋" w:cs="仿宋"/>
          <w:color w:val="auto"/>
          <w:sz w:val="28"/>
          <w:szCs w:val="28"/>
          <w:highlight w:val="none"/>
          <w:lang w:val="en-US"/>
        </w:rPr>
        <w:t>采购</w:t>
      </w:r>
      <w:r>
        <w:rPr>
          <w:rStyle w:val="49"/>
          <w:rFonts w:hint="eastAsia" w:ascii="仿宋" w:hAnsi="仿宋" w:eastAsia="仿宋" w:cs="仿宋"/>
          <w:color w:val="auto"/>
          <w:sz w:val="28"/>
          <w:szCs w:val="28"/>
          <w:highlight w:val="none"/>
        </w:rPr>
        <w:t>人信息</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称：安徽惠群城市物业有限公司</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址：淮南市田家庵区中兴村综合楼</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联系人：刘灵灵</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 xml:space="preserve">联系方式：0554-6678991   </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2.采购代理机构信息</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 xml:space="preserve">名  称：淮南市安泰工程咨询有限公司 </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址：淮南市田家庵区洞山街道中兴村5号楼对面</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联系人：刘灵灵、常工</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联系方式：0554-6678991、15955406260</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left="0" w:leftChars="0" w:right="-21" w:firstLine="0" w:firstLineChars="0"/>
        <w:textAlignment w:val="auto"/>
        <w:outlineLvl w:val="9"/>
        <w:rPr>
          <w:rStyle w:val="49"/>
          <w:rFonts w:hint="eastAsia" w:ascii="仿宋" w:hAnsi="仿宋" w:eastAsia="仿宋" w:cs="仿宋"/>
          <w:color w:val="auto"/>
          <w:sz w:val="28"/>
          <w:szCs w:val="28"/>
          <w:highlight w:val="none"/>
        </w:rPr>
      </w:pPr>
    </w:p>
    <w:bookmarkEnd w:id="21"/>
    <w:p>
      <w:pPr>
        <w:jc w:val="center"/>
        <w:rPr>
          <w:rFonts w:hint="default"/>
          <w:color w:val="auto"/>
          <w:sz w:val="40"/>
          <w:szCs w:val="48"/>
          <w:highlight w:val="none"/>
        </w:rPr>
      </w:pPr>
      <w:bookmarkStart w:id="48" w:name="_Toc24590"/>
      <w:bookmarkStart w:id="49" w:name="_Toc9758"/>
      <w:bookmarkStart w:id="50" w:name="_Toc12116"/>
      <w:bookmarkStart w:id="51" w:name="_Toc144887140"/>
      <w:r>
        <w:rPr>
          <w:color w:val="auto"/>
          <w:sz w:val="40"/>
          <w:szCs w:val="48"/>
          <w:highlight w:val="none"/>
        </w:rPr>
        <w:t>第二章 供应商须知前附表</w:t>
      </w:r>
      <w:bookmarkEnd w:id="48"/>
      <w:bookmarkEnd w:id="49"/>
      <w:bookmarkEnd w:id="50"/>
      <w:bookmarkEnd w:id="51"/>
    </w:p>
    <w:tbl>
      <w:tblPr>
        <w:tblStyle w:val="28"/>
        <w:tblW w:w="9601" w:type="dxa"/>
        <w:jc w:val="center"/>
        <w:tblLayout w:type="fixed"/>
        <w:tblCellMar>
          <w:top w:w="0" w:type="dxa"/>
          <w:left w:w="0" w:type="dxa"/>
          <w:bottom w:w="0" w:type="dxa"/>
          <w:right w:w="0" w:type="dxa"/>
        </w:tblCellMar>
      </w:tblPr>
      <w:tblGrid>
        <w:gridCol w:w="652"/>
        <w:gridCol w:w="2091"/>
        <w:gridCol w:w="6858"/>
      </w:tblGrid>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66" w:lineRule="exact"/>
              <w:jc w:val="center"/>
              <w:outlineLvl w:val="9"/>
              <w:rPr>
                <w:rFonts w:ascii="仿宋" w:hAnsi="仿宋" w:eastAsia="仿宋" w:cs="仿宋"/>
                <w:b/>
                <w:color w:val="auto"/>
                <w:kern w:val="0"/>
                <w:sz w:val="28"/>
                <w:szCs w:val="28"/>
                <w:highlight w:val="none"/>
              </w:rPr>
            </w:pPr>
            <w:bookmarkStart w:id="52" w:name="_Toc29062"/>
            <w:bookmarkEnd w:id="52"/>
            <w:bookmarkStart w:id="53" w:name="_Toc25994"/>
            <w:bookmarkEnd w:id="53"/>
            <w:bookmarkStart w:id="54" w:name="_Toc8922"/>
            <w:bookmarkEnd w:id="54"/>
            <w:bookmarkStart w:id="55" w:name="_Toc8312"/>
            <w:bookmarkEnd w:id="55"/>
            <w:bookmarkStart w:id="56" w:name="_Toc21011"/>
            <w:bookmarkStart w:id="57" w:name="_Toc19431"/>
            <w:bookmarkStart w:id="58" w:name="_Toc144880751"/>
            <w:bookmarkStart w:id="59" w:name="_Toc144887141"/>
            <w:bookmarkStart w:id="60" w:name="_Toc28104"/>
            <w:bookmarkStart w:id="61" w:name="_Toc13465"/>
            <w:r>
              <w:rPr>
                <w:rFonts w:hint="eastAsia" w:ascii="仿宋" w:hAnsi="仿宋" w:eastAsia="仿宋" w:cs="仿宋"/>
                <w:b/>
                <w:color w:val="auto"/>
                <w:kern w:val="0"/>
                <w:sz w:val="28"/>
                <w:szCs w:val="28"/>
                <w:highlight w:val="none"/>
              </w:rPr>
              <w:t>序号</w:t>
            </w:r>
            <w:bookmarkEnd w:id="56"/>
            <w:bookmarkEnd w:id="57"/>
            <w:bookmarkEnd w:id="58"/>
            <w:bookmarkEnd w:id="59"/>
            <w:bookmarkEnd w:id="60"/>
            <w:bookmarkEnd w:id="6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62" w:name="_Toc22828"/>
            <w:bookmarkEnd w:id="62"/>
            <w:bookmarkStart w:id="63" w:name="_Toc19712"/>
            <w:bookmarkEnd w:id="63"/>
            <w:bookmarkStart w:id="64" w:name="_Toc28298"/>
            <w:bookmarkEnd w:id="64"/>
            <w:bookmarkStart w:id="65" w:name="_Toc16337"/>
            <w:bookmarkEnd w:id="65"/>
            <w:bookmarkStart w:id="66" w:name="_Toc1103"/>
            <w:bookmarkStart w:id="67" w:name="_Toc144880752"/>
            <w:bookmarkStart w:id="68" w:name="_Toc3369"/>
            <w:bookmarkStart w:id="69" w:name="_Toc13627"/>
            <w:bookmarkStart w:id="70" w:name="_Toc144887142"/>
            <w:bookmarkStart w:id="71" w:name="_Toc3426"/>
            <w:r>
              <w:rPr>
                <w:rFonts w:ascii="仿宋" w:hAnsi="仿宋" w:eastAsia="仿宋" w:cs="仿宋"/>
                <w:color w:val="auto"/>
                <w:sz w:val="28"/>
                <w:szCs w:val="28"/>
                <w:highlight w:val="none"/>
              </w:rPr>
              <w:t>条款名称</w:t>
            </w:r>
            <w:bookmarkEnd w:id="66"/>
            <w:bookmarkEnd w:id="67"/>
            <w:bookmarkEnd w:id="68"/>
            <w:bookmarkEnd w:id="69"/>
            <w:bookmarkEnd w:id="70"/>
            <w:bookmarkEnd w:id="71"/>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72" w:name="_Toc20910"/>
            <w:bookmarkEnd w:id="72"/>
            <w:bookmarkStart w:id="73" w:name="_Toc2438"/>
            <w:bookmarkEnd w:id="73"/>
            <w:bookmarkStart w:id="74" w:name="_Toc16212"/>
            <w:bookmarkEnd w:id="74"/>
            <w:bookmarkStart w:id="75" w:name="_Toc16822"/>
            <w:bookmarkEnd w:id="75"/>
            <w:bookmarkStart w:id="76" w:name="_Toc22946"/>
            <w:bookmarkStart w:id="77" w:name="_Toc144880753"/>
            <w:bookmarkStart w:id="78" w:name="_Toc596"/>
            <w:bookmarkStart w:id="79" w:name="_Toc13517"/>
            <w:bookmarkStart w:id="80" w:name="_Toc11919"/>
            <w:bookmarkStart w:id="81" w:name="_Toc144887143"/>
            <w:r>
              <w:rPr>
                <w:rFonts w:ascii="仿宋" w:hAnsi="仿宋" w:eastAsia="仿宋" w:cs="仿宋"/>
                <w:color w:val="auto"/>
                <w:sz w:val="28"/>
                <w:szCs w:val="28"/>
                <w:highlight w:val="none"/>
              </w:rPr>
              <w:t>编列内容</w:t>
            </w:r>
            <w:bookmarkEnd w:id="76"/>
            <w:bookmarkEnd w:id="77"/>
            <w:bookmarkEnd w:id="78"/>
            <w:bookmarkEnd w:id="79"/>
            <w:bookmarkEnd w:id="80"/>
            <w:bookmarkEnd w:id="81"/>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82" w:name="_Toc9026"/>
            <w:bookmarkEnd w:id="82"/>
            <w:bookmarkStart w:id="83" w:name="_Toc21750"/>
            <w:bookmarkEnd w:id="83"/>
            <w:bookmarkStart w:id="84" w:name="_Toc25071"/>
            <w:bookmarkEnd w:id="8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85" w:name="_Toc31403"/>
            <w:bookmarkEnd w:id="85"/>
            <w:bookmarkStart w:id="86" w:name="_Toc26767"/>
            <w:bookmarkEnd w:id="86"/>
            <w:bookmarkStart w:id="87" w:name="_Toc26365"/>
            <w:bookmarkEnd w:id="87"/>
            <w:bookmarkStart w:id="88" w:name="_Toc21366"/>
            <w:bookmarkEnd w:id="88"/>
            <w:bookmarkStart w:id="89" w:name="_Toc11115"/>
            <w:bookmarkEnd w:id="89"/>
            <w:bookmarkStart w:id="90" w:name="_Toc9742"/>
            <w:bookmarkEnd w:id="90"/>
            <w:bookmarkStart w:id="91" w:name="_Toc20465"/>
            <w:bookmarkEnd w:id="91"/>
            <w:bookmarkStart w:id="92" w:name="_Toc19303"/>
            <w:bookmarkEnd w:id="92"/>
            <w:bookmarkStart w:id="93" w:name="_Toc27217"/>
            <w:bookmarkStart w:id="94" w:name="_Toc6560"/>
            <w:bookmarkStart w:id="95" w:name="_Toc137"/>
            <w:bookmarkStart w:id="96" w:name="_Toc144880761"/>
            <w:bookmarkStart w:id="97" w:name="_Toc1829"/>
            <w:bookmarkStart w:id="98" w:name="_Toc144887151"/>
            <w:r>
              <w:rPr>
                <w:rFonts w:ascii="仿宋" w:hAnsi="仿宋" w:eastAsia="仿宋" w:cs="仿宋"/>
                <w:b w:val="0"/>
                <w:color w:val="auto"/>
                <w:sz w:val="28"/>
                <w:szCs w:val="28"/>
                <w:highlight w:val="none"/>
              </w:rPr>
              <w:t>项目名称</w:t>
            </w:r>
            <w:bookmarkEnd w:id="93"/>
            <w:bookmarkEnd w:id="94"/>
            <w:bookmarkEnd w:id="95"/>
            <w:bookmarkEnd w:id="96"/>
            <w:bookmarkEnd w:id="97"/>
            <w:bookmarkEnd w:id="9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56" w:beforeLines="50" w:after="156" w:afterLines="50" w:line="366" w:lineRule="exact"/>
              <w:ind w:right="105" w:rightChars="50"/>
              <w:outlineLvl w:val="9"/>
              <w:rPr>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u w:val="none"/>
              </w:rPr>
              <w:t>部分项目部灭火器欠压、过期需采购更新</w:t>
            </w:r>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66" w:lineRule="exact"/>
              <w:outlineLvl w:val="9"/>
              <w:rPr>
                <w:rFonts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标段划分</w:t>
            </w:r>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66" w:lineRule="exact"/>
              <w:jc w:val="both"/>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分为</w:t>
            </w:r>
            <w:r>
              <w:rPr>
                <w:rFonts w:hint="eastAsia" w:ascii="仿宋" w:hAnsi="仿宋" w:eastAsia="仿宋" w:cs="仿宋"/>
                <w:b w:val="0"/>
                <w:bCs w:val="0"/>
                <w:color w:val="auto"/>
                <w:highlight w:val="none"/>
                <w:lang w:val="en-US" w:eastAsia="zh-CN"/>
              </w:rPr>
              <w:t>1</w:t>
            </w:r>
            <w:r>
              <w:rPr>
                <w:rFonts w:hint="eastAsia" w:ascii="仿宋" w:hAnsi="仿宋" w:eastAsia="仿宋" w:cs="仿宋"/>
                <w:b w:val="0"/>
                <w:bCs w:val="0"/>
                <w:color w:val="auto"/>
                <w:highlight w:val="none"/>
              </w:rPr>
              <w:t>个包</w:t>
            </w:r>
            <w:r>
              <w:rPr>
                <w:rFonts w:hint="eastAsia" w:ascii="仿宋" w:hAnsi="仿宋" w:eastAsia="仿宋" w:cs="仿宋"/>
                <w:b w:val="0"/>
                <w:bCs w:val="0"/>
                <w:color w:val="auto"/>
                <w:highlight w:val="none"/>
                <w:lang w:eastAsia="zh-CN"/>
              </w:rPr>
              <w:t>；</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99" w:name="_Toc13684"/>
            <w:bookmarkEnd w:id="99"/>
            <w:bookmarkStart w:id="100" w:name="_Toc31022"/>
            <w:bookmarkEnd w:id="10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01" w:name="_Toc27407"/>
            <w:bookmarkEnd w:id="101"/>
            <w:bookmarkStart w:id="102" w:name="_Toc13829"/>
            <w:bookmarkEnd w:id="102"/>
            <w:bookmarkStart w:id="103" w:name="_Toc26661"/>
            <w:bookmarkEnd w:id="103"/>
            <w:bookmarkStart w:id="104" w:name="_Toc24367"/>
            <w:bookmarkEnd w:id="104"/>
            <w:bookmarkStart w:id="105" w:name="_Toc27986"/>
            <w:bookmarkEnd w:id="105"/>
            <w:bookmarkStart w:id="106" w:name="_Toc10556"/>
            <w:bookmarkEnd w:id="106"/>
            <w:bookmarkStart w:id="107" w:name="_Toc17299"/>
            <w:bookmarkEnd w:id="107"/>
            <w:bookmarkStart w:id="108" w:name="_Toc447"/>
            <w:bookmarkEnd w:id="108"/>
            <w:bookmarkStart w:id="109" w:name="_Toc14138"/>
            <w:bookmarkStart w:id="110" w:name="_Toc25500"/>
            <w:bookmarkStart w:id="111" w:name="_Toc31787"/>
            <w:bookmarkStart w:id="112" w:name="_Toc32479"/>
            <w:bookmarkStart w:id="113" w:name="_Toc144887156"/>
            <w:bookmarkStart w:id="114" w:name="_Toc144880766"/>
            <w:r>
              <w:rPr>
                <w:rFonts w:ascii="仿宋" w:hAnsi="仿宋" w:eastAsia="仿宋" w:cs="仿宋"/>
                <w:b w:val="0"/>
                <w:color w:val="auto"/>
                <w:sz w:val="28"/>
                <w:szCs w:val="28"/>
                <w:highlight w:val="none"/>
              </w:rPr>
              <w:t>资金来源</w:t>
            </w:r>
            <w:bookmarkEnd w:id="109"/>
            <w:bookmarkEnd w:id="110"/>
            <w:bookmarkEnd w:id="111"/>
            <w:bookmarkEnd w:id="112"/>
            <w:bookmarkEnd w:id="113"/>
            <w:bookmarkEnd w:id="114"/>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15" w:name="_Toc981"/>
            <w:bookmarkEnd w:id="115"/>
            <w:bookmarkStart w:id="116" w:name="_Toc18480"/>
            <w:bookmarkEnd w:id="116"/>
            <w:bookmarkStart w:id="117" w:name="_Toc13876"/>
            <w:bookmarkEnd w:id="117"/>
            <w:bookmarkStart w:id="118" w:name="_Toc8464"/>
            <w:bookmarkEnd w:id="118"/>
            <w:bookmarkStart w:id="119" w:name="_Toc30431"/>
            <w:bookmarkStart w:id="120" w:name="_Toc144887157"/>
            <w:bookmarkStart w:id="121" w:name="_Toc144880767"/>
            <w:bookmarkStart w:id="122" w:name="_Toc16070"/>
            <w:r>
              <w:rPr>
                <w:rFonts w:hint="eastAsia" w:ascii="仿宋" w:hAnsi="仿宋" w:eastAsia="仿宋" w:cs="仿宋"/>
                <w:b w:val="0"/>
                <w:color w:val="auto"/>
                <w:sz w:val="28"/>
                <w:szCs w:val="28"/>
                <w:highlight w:val="none"/>
                <w:lang w:val="en-US" w:eastAsia="zh-CN"/>
              </w:rPr>
              <w:t>自筹</w:t>
            </w:r>
            <w:r>
              <w:rPr>
                <w:rFonts w:ascii="仿宋" w:hAnsi="仿宋" w:eastAsia="仿宋" w:cs="仿宋"/>
                <w:b w:val="0"/>
                <w:color w:val="auto"/>
                <w:sz w:val="28"/>
                <w:szCs w:val="28"/>
                <w:highlight w:val="none"/>
              </w:rPr>
              <w:t>资金</w:t>
            </w:r>
            <w:bookmarkEnd w:id="119"/>
            <w:bookmarkEnd w:id="120"/>
            <w:bookmarkEnd w:id="121"/>
            <w:bookmarkEnd w:id="122"/>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23" w:name="_Toc27787"/>
            <w:bookmarkEnd w:id="123"/>
            <w:bookmarkStart w:id="124" w:name="_Toc23942"/>
            <w:bookmarkEnd w:id="12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25" w:name="_Toc28478"/>
            <w:bookmarkEnd w:id="125"/>
            <w:bookmarkStart w:id="126" w:name="_Toc21015"/>
            <w:bookmarkEnd w:id="126"/>
            <w:bookmarkStart w:id="127" w:name="_Toc18840"/>
            <w:bookmarkEnd w:id="127"/>
            <w:bookmarkStart w:id="128" w:name="_Toc15433"/>
            <w:bookmarkEnd w:id="128"/>
            <w:bookmarkStart w:id="129" w:name="_Toc3121"/>
            <w:bookmarkEnd w:id="129"/>
            <w:bookmarkStart w:id="130" w:name="_Toc18320"/>
            <w:bookmarkEnd w:id="130"/>
            <w:bookmarkStart w:id="131" w:name="_Toc20382"/>
            <w:bookmarkEnd w:id="131"/>
            <w:bookmarkStart w:id="132" w:name="_Toc3488"/>
            <w:bookmarkEnd w:id="132"/>
            <w:bookmarkStart w:id="133" w:name="_Toc144880772"/>
            <w:bookmarkStart w:id="134" w:name="_Toc16376"/>
            <w:bookmarkStart w:id="135" w:name="_Toc28390"/>
            <w:bookmarkStart w:id="136" w:name="_Toc5377"/>
            <w:bookmarkStart w:id="137" w:name="_Toc144887162"/>
            <w:bookmarkStart w:id="138" w:name="_Toc26350"/>
            <w:r>
              <w:rPr>
                <w:rFonts w:hint="eastAsia" w:ascii="仿宋" w:hAnsi="仿宋" w:eastAsia="仿宋" w:cs="仿宋"/>
                <w:b w:val="0"/>
                <w:color w:val="auto"/>
                <w:sz w:val="28"/>
                <w:szCs w:val="28"/>
                <w:highlight w:val="none"/>
              </w:rPr>
              <w:t>报价要求</w:t>
            </w:r>
            <w:bookmarkEnd w:id="133"/>
            <w:bookmarkEnd w:id="134"/>
            <w:bookmarkEnd w:id="135"/>
            <w:bookmarkEnd w:id="136"/>
            <w:bookmarkEnd w:id="137"/>
            <w:bookmarkEnd w:id="13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lang w:val="en-US" w:eastAsia="zh-CN"/>
              </w:rPr>
              <w:t>投标</w:t>
            </w:r>
            <w:r>
              <w:rPr>
                <w:rFonts w:hint="eastAsia" w:ascii="仿宋" w:hAnsi="仿宋" w:eastAsia="仿宋" w:cs="仿宋"/>
                <w:b w:val="0"/>
                <w:color w:val="auto"/>
                <w:sz w:val="28"/>
                <w:szCs w:val="28"/>
                <w:highlight w:val="none"/>
              </w:rPr>
              <w:t>均包括人工费、材料费、运输费、管理费、利润、税金以及采用固定价格的项目所测算的风险金等实际现场完成本项目的全部费用。</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39" w:name="_Toc22462"/>
            <w:bookmarkEnd w:id="139"/>
            <w:bookmarkStart w:id="140" w:name="_Toc32731"/>
            <w:bookmarkEnd w:id="14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eastAsia="zh-CN"/>
              </w:rPr>
            </w:pPr>
            <w:bookmarkStart w:id="141" w:name="_Toc7418"/>
            <w:bookmarkEnd w:id="141"/>
            <w:bookmarkStart w:id="142" w:name="_Toc7315"/>
            <w:bookmarkEnd w:id="142"/>
            <w:r>
              <w:rPr>
                <w:rStyle w:val="49"/>
                <w:rFonts w:hint="eastAsia" w:ascii="仿宋" w:hAnsi="仿宋" w:eastAsia="仿宋" w:cs="仿宋"/>
                <w:color w:val="auto"/>
                <w:sz w:val="28"/>
                <w:szCs w:val="28"/>
                <w:highlight w:val="none"/>
                <w:lang w:val="en-US"/>
              </w:rPr>
              <w:t>每批（次）供货期限</w:t>
            </w:r>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keepNext w:val="0"/>
              <w:keepLines w:val="0"/>
              <w:pageBreakBefore w:val="0"/>
              <w:shd w:val="clear" w:color="auto" w:fill="FFFFFF" w:themeFill="background1"/>
              <w:kinsoku/>
              <w:wordWrap w:val="0"/>
              <w:overflowPunct/>
              <w:topLinePunct/>
              <w:autoSpaceDN/>
              <w:bidi w:val="0"/>
              <w:adjustRightInd/>
              <w:snapToGrid/>
              <w:spacing w:before="95" w:beforeLines="30" w:beforeAutospacing="0" w:after="95" w:afterLines="30" w:afterAutospacing="0" w:line="360" w:lineRule="exact"/>
              <w:rPr>
                <w:rFonts w:hint="default" w:ascii="仿宋" w:hAnsi="仿宋" w:eastAsia="仿宋" w:cs="仿宋"/>
                <w:color w:val="auto"/>
                <w:sz w:val="28"/>
                <w:szCs w:val="28"/>
                <w:highlight w:val="none"/>
                <w:lang w:val="en-US"/>
              </w:rPr>
            </w:pPr>
            <w:r>
              <w:rPr>
                <w:rStyle w:val="49"/>
                <w:rFonts w:hint="eastAsia" w:ascii="仿宋" w:hAnsi="仿宋" w:eastAsia="仿宋" w:cs="仿宋"/>
                <w:color w:val="auto"/>
                <w:sz w:val="28"/>
                <w:szCs w:val="28"/>
                <w:highlight w:val="none"/>
                <w:lang w:val="en-US"/>
              </w:rPr>
              <w:t>接到采购人通知后30</w:t>
            </w:r>
            <w:r>
              <w:rPr>
                <w:rStyle w:val="49"/>
                <w:rFonts w:hint="eastAsia" w:ascii="仿宋" w:hAnsi="仿宋" w:eastAsia="仿宋" w:cs="仿宋"/>
                <w:color w:val="auto"/>
                <w:sz w:val="28"/>
                <w:szCs w:val="28"/>
                <w:highlight w:val="none"/>
              </w:rPr>
              <w:t>日</w:t>
            </w:r>
            <w:r>
              <w:rPr>
                <w:rStyle w:val="49"/>
                <w:rFonts w:hint="eastAsia" w:ascii="仿宋" w:hAnsi="仿宋" w:eastAsia="仿宋" w:cs="仿宋"/>
                <w:color w:val="auto"/>
                <w:sz w:val="28"/>
                <w:szCs w:val="28"/>
                <w:highlight w:val="none"/>
                <w:lang w:val="en-US"/>
              </w:rPr>
              <w:t>内完成供货</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43" w:name="_Toc20603"/>
            <w:bookmarkEnd w:id="143"/>
            <w:bookmarkStart w:id="144" w:name="_Toc17917"/>
            <w:bookmarkEnd w:id="14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45" w:name="_Toc14305"/>
            <w:bookmarkStart w:id="146" w:name="_Toc1356"/>
            <w:bookmarkStart w:id="147" w:name="_Toc144887179"/>
            <w:bookmarkStart w:id="148" w:name="_Toc144880789"/>
            <w:r>
              <w:rPr>
                <w:rFonts w:ascii="仿宋" w:hAnsi="仿宋" w:eastAsia="仿宋" w:cs="仿宋"/>
                <w:b w:val="0"/>
                <w:color w:val="auto"/>
                <w:sz w:val="28"/>
                <w:szCs w:val="28"/>
                <w:highlight w:val="none"/>
              </w:rPr>
              <w:t>谈判有效期</w:t>
            </w:r>
            <w:bookmarkEnd w:id="145"/>
            <w:bookmarkEnd w:id="146"/>
            <w:bookmarkEnd w:id="147"/>
            <w:bookmarkEnd w:id="14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49" w:name="_Toc9722"/>
            <w:bookmarkStart w:id="150" w:name="_Toc144880790"/>
            <w:bookmarkStart w:id="151" w:name="_Toc144887180"/>
            <w:bookmarkStart w:id="152" w:name="_Toc6477"/>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149"/>
            <w:bookmarkEnd w:id="150"/>
            <w:bookmarkEnd w:id="151"/>
            <w:bookmarkEnd w:id="152"/>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53" w:name="_Toc8145"/>
            <w:bookmarkEnd w:id="153"/>
            <w:bookmarkStart w:id="154" w:name="_Toc8417"/>
            <w:bookmarkEnd w:id="154"/>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55" w:name="_Toc144880800"/>
            <w:bookmarkStart w:id="156" w:name="_Toc30616"/>
            <w:bookmarkStart w:id="157" w:name="_Toc26828"/>
            <w:bookmarkStart w:id="158" w:name="_Toc144887190"/>
            <w:bookmarkStart w:id="159" w:name="_Toc28297"/>
            <w:bookmarkStart w:id="160" w:name="_Toc29945"/>
            <w:r>
              <w:rPr>
                <w:rFonts w:ascii="仿宋" w:hAnsi="仿宋" w:eastAsia="仿宋" w:cs="仿宋"/>
                <w:b w:val="0"/>
                <w:color w:val="auto"/>
                <w:sz w:val="28"/>
                <w:szCs w:val="28"/>
                <w:highlight w:val="none"/>
              </w:rPr>
              <w:t>资格审查方式</w:t>
            </w:r>
            <w:bookmarkEnd w:id="155"/>
            <w:bookmarkEnd w:id="156"/>
            <w:bookmarkEnd w:id="157"/>
            <w:bookmarkEnd w:id="158"/>
            <w:bookmarkEnd w:id="159"/>
            <w:bookmarkEnd w:id="160"/>
          </w:p>
        </w:tc>
        <w:tc>
          <w:tcPr>
            <w:tcW w:w="685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kern w:val="2"/>
                <w:sz w:val="28"/>
                <w:szCs w:val="28"/>
                <w:highlight w:val="none"/>
              </w:rPr>
            </w:pPr>
            <w:bookmarkStart w:id="161" w:name="_Toc144887191"/>
            <w:bookmarkStart w:id="162" w:name="_Toc24863"/>
            <w:bookmarkStart w:id="163" w:name="_Toc21905"/>
            <w:bookmarkStart w:id="164" w:name="_Toc9418"/>
            <w:bookmarkStart w:id="165" w:name="_Toc144880801"/>
            <w:bookmarkStart w:id="166" w:name="_Toc24726"/>
            <w:r>
              <w:rPr>
                <w:rFonts w:ascii="仿宋" w:hAnsi="仿宋" w:eastAsia="仿宋" w:cs="仿宋"/>
                <w:b w:val="0"/>
                <w:color w:val="auto"/>
                <w:sz w:val="28"/>
                <w:szCs w:val="28"/>
                <w:highlight w:val="none"/>
              </w:rPr>
              <w:t>资格后审</w:t>
            </w:r>
            <w:bookmarkEnd w:id="161"/>
            <w:bookmarkEnd w:id="162"/>
            <w:bookmarkEnd w:id="163"/>
            <w:bookmarkEnd w:id="164"/>
            <w:bookmarkEnd w:id="165"/>
            <w:bookmarkEnd w:id="166"/>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67" w:name="_Toc8405"/>
            <w:bookmarkEnd w:id="167"/>
            <w:bookmarkStart w:id="168" w:name="_Toc11310"/>
            <w:bookmarkEnd w:id="168"/>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69" w:name="_Toc1137"/>
            <w:bookmarkEnd w:id="169"/>
            <w:bookmarkStart w:id="170" w:name="_Toc7392"/>
            <w:bookmarkEnd w:id="170"/>
            <w:bookmarkStart w:id="171" w:name="_Toc13047"/>
            <w:bookmarkEnd w:id="171"/>
            <w:bookmarkStart w:id="172" w:name="_Toc4220"/>
            <w:bookmarkEnd w:id="172"/>
            <w:bookmarkStart w:id="173" w:name="_Toc144880820"/>
            <w:bookmarkStart w:id="174" w:name="_Toc6750"/>
            <w:bookmarkStart w:id="175" w:name="_Toc19474"/>
            <w:bookmarkStart w:id="176" w:name="_Toc13678"/>
            <w:bookmarkStart w:id="177" w:name="_Toc26260"/>
            <w:bookmarkStart w:id="178" w:name="_Toc144887210"/>
            <w:r>
              <w:rPr>
                <w:rFonts w:ascii="仿宋" w:hAnsi="仿宋" w:eastAsia="仿宋" w:cs="仿宋"/>
                <w:b w:val="0"/>
                <w:color w:val="auto"/>
                <w:sz w:val="28"/>
                <w:szCs w:val="28"/>
                <w:highlight w:val="none"/>
              </w:rPr>
              <w:t>谈判文件份数</w:t>
            </w:r>
            <w:bookmarkEnd w:id="173"/>
            <w:bookmarkEnd w:id="174"/>
            <w:bookmarkEnd w:id="175"/>
            <w:bookmarkEnd w:id="176"/>
            <w:bookmarkEnd w:id="177"/>
            <w:bookmarkEnd w:id="17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rPr>
            </w:pPr>
            <w:bookmarkStart w:id="179" w:name="_Toc7337"/>
            <w:bookmarkEnd w:id="179"/>
            <w:bookmarkStart w:id="180" w:name="_Toc25812"/>
            <w:bookmarkStart w:id="181" w:name="_Toc5718"/>
            <w:r>
              <w:rPr>
                <w:rFonts w:hint="eastAsia" w:ascii="仿宋" w:hAnsi="仿宋" w:eastAsia="仿宋" w:cs="仿宋"/>
                <w:b w:val="0"/>
                <w:color w:val="auto"/>
                <w:sz w:val="28"/>
                <w:szCs w:val="28"/>
                <w:highlight w:val="none"/>
              </w:rPr>
              <w:t>正本一份、副本</w:t>
            </w:r>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份（副本可以是正本的复印件，复印件必须字迹清晰可认）（按规定签字盖章） 胶装成册。</w:t>
            </w:r>
            <w:bookmarkEnd w:id="180"/>
            <w:bookmarkEnd w:id="181"/>
          </w:p>
          <w:p>
            <w:pPr>
              <w:spacing w:line="366" w:lineRule="exact"/>
              <w:jc w:val="both"/>
              <w:outlineLvl w:val="9"/>
              <w:rPr>
                <w:rFonts w:hint="default" w:ascii="仿宋" w:hAnsi="仿宋" w:eastAsia="仿宋" w:cs="仿宋"/>
                <w:b w:val="0"/>
                <w:color w:val="auto"/>
                <w:sz w:val="28"/>
                <w:szCs w:val="28"/>
                <w:highlight w:val="none"/>
              </w:rPr>
            </w:pPr>
            <w:bookmarkStart w:id="182" w:name="_Toc4816"/>
            <w:bookmarkStart w:id="183" w:name="_Toc20950"/>
            <w:r>
              <w:rPr>
                <w:rFonts w:hint="eastAsia" w:ascii="仿宋" w:hAnsi="仿宋" w:eastAsia="仿宋" w:cs="仿宋"/>
                <w:b w:val="0"/>
                <w:color w:val="auto"/>
                <w:sz w:val="28"/>
                <w:szCs w:val="28"/>
                <w:highlight w:val="none"/>
              </w:rPr>
              <w:t>开标现场提交密封的</w:t>
            </w:r>
            <w:r>
              <w:rPr>
                <w:rFonts w:hint="eastAsia" w:ascii="仿宋" w:hAnsi="仿宋" w:eastAsia="仿宋" w:cs="仿宋"/>
                <w:b w:val="0"/>
                <w:color w:val="auto"/>
                <w:sz w:val="28"/>
                <w:szCs w:val="28"/>
                <w:highlight w:val="none"/>
                <w:lang w:val="en-US" w:eastAsia="zh-CN"/>
              </w:rPr>
              <w:t>响应</w:t>
            </w:r>
            <w:r>
              <w:rPr>
                <w:rFonts w:hint="eastAsia" w:ascii="仿宋" w:hAnsi="仿宋" w:eastAsia="仿宋" w:cs="仿宋"/>
                <w:b w:val="0"/>
                <w:color w:val="auto"/>
                <w:sz w:val="28"/>
                <w:szCs w:val="28"/>
                <w:highlight w:val="none"/>
              </w:rPr>
              <w:t>文件，封袋上注明：</w:t>
            </w:r>
            <w:r>
              <w:rPr>
                <w:rFonts w:hint="eastAsia" w:ascii="仿宋" w:hAnsi="仿宋" w:eastAsia="仿宋" w:cs="仿宋"/>
                <w:b w:val="0"/>
                <w:color w:val="auto"/>
                <w:sz w:val="28"/>
                <w:szCs w:val="28"/>
                <w:highlight w:val="none"/>
                <w:lang w:val="en-US" w:eastAsia="zh-CN"/>
              </w:rPr>
              <w:t>采购</w:t>
            </w:r>
            <w:r>
              <w:rPr>
                <w:rFonts w:hint="eastAsia" w:ascii="仿宋" w:hAnsi="仿宋" w:eastAsia="仿宋" w:cs="仿宋"/>
                <w:b w:val="0"/>
                <w:color w:val="auto"/>
                <w:sz w:val="28"/>
                <w:szCs w:val="28"/>
                <w:highlight w:val="none"/>
              </w:rPr>
              <w:t>名称、项目名称及项目编号、</w:t>
            </w:r>
            <w:r>
              <w:rPr>
                <w:rFonts w:hint="eastAsia" w:ascii="仿宋" w:hAnsi="仿宋" w:eastAsia="仿宋" w:cs="仿宋"/>
                <w:b w:val="0"/>
                <w:color w:val="auto"/>
                <w:sz w:val="28"/>
                <w:szCs w:val="28"/>
                <w:highlight w:val="none"/>
                <w:lang w:val="en-US" w:eastAsia="zh-CN"/>
              </w:rPr>
              <w:t>投标供应商</w:t>
            </w:r>
            <w:r>
              <w:rPr>
                <w:rFonts w:hint="eastAsia" w:ascii="仿宋" w:hAnsi="仿宋" w:eastAsia="仿宋" w:cs="仿宋"/>
                <w:b w:val="0"/>
                <w:color w:val="auto"/>
                <w:sz w:val="28"/>
                <w:szCs w:val="28"/>
                <w:highlight w:val="none"/>
              </w:rPr>
              <w:t>名称，正本/副本，并注明“在2024年  月   日  点  分（投标截止时间）之前不得启封”字样。</w:t>
            </w:r>
            <w:bookmarkEnd w:id="182"/>
            <w:bookmarkEnd w:id="183"/>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84" w:name="_Toc2328"/>
            <w:bookmarkEnd w:id="184"/>
            <w:bookmarkStart w:id="185" w:name="_Toc18456"/>
            <w:bookmarkEnd w:id="185"/>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86" w:name="_Toc18200"/>
            <w:bookmarkEnd w:id="186"/>
            <w:bookmarkStart w:id="187" w:name="_Toc2310"/>
            <w:bookmarkEnd w:id="187"/>
            <w:bookmarkStart w:id="188" w:name="_Toc16585"/>
            <w:bookmarkEnd w:id="188"/>
            <w:bookmarkStart w:id="189" w:name="_Toc29648"/>
            <w:bookmarkEnd w:id="189"/>
            <w:bookmarkStart w:id="190" w:name="_Toc30267"/>
            <w:bookmarkStart w:id="191" w:name="_Toc28102"/>
            <w:bookmarkStart w:id="192" w:name="_Toc17186"/>
            <w:bookmarkStart w:id="193" w:name="_Toc144887225"/>
            <w:bookmarkStart w:id="194" w:name="_Toc144880835"/>
            <w:bookmarkStart w:id="195" w:name="_Toc24766"/>
            <w:r>
              <w:rPr>
                <w:rFonts w:ascii="仿宋" w:hAnsi="仿宋" w:eastAsia="仿宋" w:cs="仿宋"/>
                <w:b w:val="0"/>
                <w:color w:val="auto"/>
                <w:sz w:val="28"/>
                <w:szCs w:val="28"/>
                <w:highlight w:val="none"/>
              </w:rPr>
              <w:t>谈判小组的组建</w:t>
            </w:r>
            <w:bookmarkEnd w:id="190"/>
            <w:bookmarkEnd w:id="191"/>
            <w:bookmarkEnd w:id="192"/>
            <w:bookmarkEnd w:id="193"/>
            <w:bookmarkEnd w:id="194"/>
            <w:bookmarkEnd w:id="195"/>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eastAsia="zh-CN"/>
              </w:rPr>
            </w:pPr>
            <w:bookmarkStart w:id="196" w:name="_Toc4018"/>
            <w:bookmarkEnd w:id="196"/>
            <w:bookmarkStart w:id="197" w:name="_Toc23616"/>
            <w:bookmarkEnd w:id="197"/>
            <w:bookmarkStart w:id="198" w:name="_Toc890"/>
            <w:bookmarkStart w:id="199" w:name="_Toc3281"/>
            <w:r>
              <w:rPr>
                <w:rFonts w:hint="eastAsia" w:ascii="仿宋" w:hAnsi="仿宋" w:eastAsia="仿宋" w:cs="仿宋"/>
                <w:b w:val="0"/>
                <w:color w:val="auto"/>
                <w:sz w:val="28"/>
                <w:szCs w:val="28"/>
                <w:highlight w:val="none"/>
              </w:rPr>
              <w:t>谈判小组构成：谈判小组由采购人代表和评审专家组成，3人或以上单数</w:t>
            </w:r>
            <w:r>
              <w:rPr>
                <w:rFonts w:hint="eastAsia" w:ascii="仿宋" w:hAnsi="仿宋" w:eastAsia="仿宋" w:cs="仿宋"/>
                <w:b w:val="0"/>
                <w:color w:val="auto"/>
                <w:sz w:val="28"/>
                <w:szCs w:val="28"/>
                <w:highlight w:val="none"/>
                <w:lang w:eastAsia="zh-CN"/>
              </w:rPr>
              <w:t>。</w:t>
            </w:r>
            <w:bookmarkEnd w:id="198"/>
            <w:bookmarkEnd w:id="199"/>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00" w:name="_Toc1342"/>
            <w:bookmarkEnd w:id="200"/>
            <w:bookmarkStart w:id="201" w:name="_Toc30826"/>
            <w:bookmarkEnd w:id="201"/>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202" w:name="_Toc9431"/>
            <w:bookmarkStart w:id="203" w:name="_Toc22691"/>
            <w:bookmarkStart w:id="204" w:name="_Toc15840"/>
            <w:bookmarkStart w:id="205" w:name="_Toc13978"/>
            <w:bookmarkStart w:id="206" w:name="_Toc144887232"/>
            <w:bookmarkStart w:id="207" w:name="_Toc144880842"/>
            <w:r>
              <w:rPr>
                <w:rFonts w:ascii="仿宋" w:hAnsi="仿宋" w:eastAsia="仿宋" w:cs="仿宋"/>
                <w:b w:val="0"/>
                <w:color w:val="auto"/>
                <w:sz w:val="28"/>
                <w:szCs w:val="28"/>
                <w:highlight w:val="none"/>
              </w:rPr>
              <w:t>最高限价</w:t>
            </w:r>
            <w:bookmarkEnd w:id="202"/>
            <w:bookmarkEnd w:id="203"/>
            <w:bookmarkEnd w:id="204"/>
            <w:bookmarkEnd w:id="205"/>
            <w:bookmarkEnd w:id="206"/>
            <w:bookmarkEnd w:id="207"/>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208" w:name="_Toc13089"/>
            <w:bookmarkStart w:id="209" w:name="_Toc14225"/>
            <w:r>
              <w:rPr>
                <w:rFonts w:hint="eastAsia" w:ascii="仿宋" w:hAnsi="仿宋" w:eastAsia="仿宋" w:cs="仿宋"/>
                <w:b w:val="0"/>
                <w:color w:val="auto"/>
                <w:sz w:val="28"/>
                <w:szCs w:val="28"/>
                <w:highlight w:val="none"/>
                <w:lang w:eastAsia="zh-CN"/>
              </w:rPr>
              <w:t>147510.00</w:t>
            </w:r>
            <w:r>
              <w:rPr>
                <w:rFonts w:hint="eastAsia" w:ascii="仿宋" w:hAnsi="仿宋" w:eastAsia="仿宋" w:cs="仿宋"/>
                <w:b w:val="0"/>
                <w:color w:val="auto"/>
                <w:sz w:val="28"/>
                <w:szCs w:val="28"/>
                <w:highlight w:val="none"/>
              </w:rPr>
              <w:t>元</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rPr>
              <w:t>超过此限价按无效标处理</w:t>
            </w:r>
            <w:r>
              <w:rPr>
                <w:rFonts w:hint="eastAsia" w:ascii="仿宋" w:hAnsi="仿宋" w:eastAsia="仿宋" w:cs="仿宋"/>
                <w:b w:val="0"/>
                <w:color w:val="auto"/>
                <w:sz w:val="28"/>
                <w:szCs w:val="28"/>
                <w:highlight w:val="none"/>
                <w:lang w:eastAsia="zh-CN"/>
              </w:rPr>
              <w:t>。</w:t>
            </w:r>
            <w:bookmarkEnd w:id="208"/>
            <w:bookmarkEnd w:id="209"/>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0" w:name="_Toc27121"/>
            <w:bookmarkEnd w:id="210"/>
            <w:bookmarkStart w:id="211" w:name="_Toc9706"/>
            <w:bookmarkEnd w:id="211"/>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center"/>
              <w:outlineLvl w:val="9"/>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left"/>
              <w:outlineLvl w:val="9"/>
              <w:rPr>
                <w:rFonts w:ascii="仿宋" w:hAnsi="仿宋" w:eastAsia="仿宋" w:cs="仿宋"/>
                <w:bCs/>
                <w:color w:val="auto"/>
                <w:sz w:val="28"/>
                <w:szCs w:val="28"/>
                <w:highlight w:val="none"/>
              </w:rPr>
            </w:pPr>
            <w:r>
              <w:rPr>
                <w:rStyle w:val="49"/>
                <w:rFonts w:hint="eastAsia" w:ascii="仿宋" w:hAnsi="仿宋" w:eastAsia="仿宋" w:cs="仿宋"/>
                <w:color w:val="auto"/>
                <w:kern w:val="0"/>
                <w:sz w:val="28"/>
                <w:szCs w:val="28"/>
                <w:highlight w:val="none"/>
              </w:rPr>
              <w:t>书面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sz w:val="28"/>
                <w:szCs w:val="28"/>
                <w:highlight w:val="none"/>
              </w:rPr>
            </w:pP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left"/>
              <w:outlineLvl w:val="9"/>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自中标（成交）通知书发出之日起7个工作日内（具体时间、地点见中标（成交）通知书）与采购人签订合同。无正当理由不得拒绝或者拖延合同签订。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2" w:name="_Toc26020"/>
            <w:bookmarkEnd w:id="212"/>
            <w:bookmarkStart w:id="213" w:name="_Toc23462"/>
            <w:bookmarkEnd w:id="213"/>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bCs/>
                <w:color w:val="auto"/>
                <w:sz w:val="28"/>
                <w:szCs w:val="28"/>
                <w:highlight w:val="none"/>
              </w:rPr>
            </w:pPr>
            <w:bookmarkStart w:id="214" w:name="_Toc144880850"/>
            <w:bookmarkStart w:id="215" w:name="_Toc144887240"/>
            <w:bookmarkStart w:id="216" w:name="_Toc663"/>
            <w:bookmarkStart w:id="217" w:name="_Toc4489"/>
            <w:r>
              <w:rPr>
                <w:rFonts w:ascii="仿宋" w:hAnsi="仿宋" w:eastAsia="仿宋" w:cs="仿宋"/>
                <w:b w:val="0"/>
                <w:color w:val="auto"/>
                <w:sz w:val="28"/>
                <w:szCs w:val="28"/>
                <w:highlight w:val="none"/>
              </w:rPr>
              <w:t>代理服务费</w:t>
            </w:r>
            <w:bookmarkEnd w:id="214"/>
            <w:bookmarkEnd w:id="215"/>
            <w:bookmarkEnd w:id="216"/>
            <w:bookmarkEnd w:id="217"/>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1"/>
              <w:spacing w:before="0" w:beforeAutospacing="0" w:after="0" w:afterAutospacing="0" w:line="366" w:lineRule="exact"/>
              <w:jc w:val="left"/>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免收</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8" w:name="_Toc7749"/>
            <w:bookmarkEnd w:id="218"/>
            <w:bookmarkStart w:id="219" w:name="_Toc27209"/>
            <w:bookmarkEnd w:id="219"/>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both"/>
              <w:outlineLvl w:val="9"/>
              <w:rPr>
                <w:rFonts w:hint="default" w:ascii="仿宋" w:hAnsi="仿宋" w:eastAsia="仿宋" w:cs="仿宋"/>
                <w:b w:val="0"/>
                <w:color w:val="auto"/>
                <w:sz w:val="28"/>
                <w:szCs w:val="28"/>
                <w:highlight w:val="none"/>
              </w:rPr>
            </w:pPr>
            <w:bookmarkStart w:id="220" w:name="_Toc27518"/>
            <w:bookmarkStart w:id="221" w:name="_Toc2629"/>
            <w:bookmarkStart w:id="222" w:name="_Toc4565"/>
            <w:bookmarkStart w:id="223" w:name="_Toc23002"/>
            <w:bookmarkStart w:id="224" w:name="_Toc144880852"/>
            <w:bookmarkStart w:id="225" w:name="_Toc144887242"/>
            <w:r>
              <w:rPr>
                <w:rFonts w:ascii="仿宋" w:hAnsi="仿宋" w:eastAsia="仿宋" w:cs="仿宋"/>
                <w:b w:val="0"/>
                <w:color w:val="auto"/>
                <w:sz w:val="28"/>
                <w:szCs w:val="28"/>
                <w:highlight w:val="none"/>
              </w:rPr>
              <w:t>付款方式</w:t>
            </w:r>
            <w:bookmarkEnd w:id="220"/>
            <w:bookmarkEnd w:id="221"/>
            <w:bookmarkEnd w:id="222"/>
            <w:bookmarkEnd w:id="223"/>
            <w:bookmarkEnd w:id="224"/>
            <w:bookmarkEnd w:id="225"/>
          </w:p>
        </w:tc>
        <w:tc>
          <w:tcPr>
            <w:tcW w:w="6858" w:type="dxa"/>
            <w:tcBorders>
              <w:top w:val="single" w:color="auto" w:sz="4" w:space="0"/>
              <w:left w:val="single" w:color="000000" w:sz="4" w:space="0"/>
              <w:bottom w:val="single" w:color="auto" w:sz="4" w:space="0"/>
              <w:right w:val="single" w:color="000000" w:sz="4" w:space="0"/>
            </w:tcBorders>
            <w:shd w:val="clear" w:color="auto" w:fill="auto"/>
          </w:tcPr>
          <w:p>
            <w:pPr>
              <w:spacing w:line="366" w:lineRule="exact"/>
              <w:ind w:firstLine="560" w:firstLineChars="200"/>
              <w:outlineLvl w:val="9"/>
              <w:rPr>
                <w:rFonts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eastAsia="zh-CN"/>
              </w:rPr>
              <w:t>合同签订后，货到仓库（具体配置地点），验收合格后支付</w:t>
            </w:r>
            <w:r>
              <w:rPr>
                <w:rFonts w:hint="eastAsia" w:ascii="仿宋" w:hAnsi="仿宋" w:eastAsia="仿宋" w:cs="仿宋"/>
                <w:b w:val="0"/>
                <w:bCs w:val="0"/>
                <w:color w:val="auto"/>
                <w:sz w:val="28"/>
                <w:szCs w:val="28"/>
                <w:highlight w:val="none"/>
                <w:lang w:val="en-US" w:eastAsia="zh-CN"/>
              </w:rPr>
              <w:t>70</w:t>
            </w:r>
            <w:r>
              <w:rPr>
                <w:rFonts w:hint="eastAsia" w:ascii="仿宋" w:hAnsi="仿宋" w:eastAsia="仿宋" w:cs="仿宋"/>
                <w:b w:val="0"/>
                <w:bCs w:val="0"/>
                <w:color w:val="auto"/>
                <w:sz w:val="28"/>
                <w:szCs w:val="28"/>
                <w:highlight w:val="none"/>
                <w:lang w:eastAsia="zh-CN"/>
              </w:rPr>
              <w:t>%货款，</w:t>
            </w:r>
            <w:r>
              <w:rPr>
                <w:rFonts w:hint="eastAsia" w:ascii="仿宋" w:hAnsi="仿宋" w:eastAsia="仿宋" w:cs="仿宋"/>
                <w:b w:val="0"/>
                <w:bCs w:val="0"/>
                <w:color w:val="auto"/>
                <w:sz w:val="28"/>
                <w:szCs w:val="28"/>
                <w:highlight w:val="none"/>
                <w:lang w:val="en-US" w:eastAsia="zh-CN"/>
              </w:rPr>
              <w:t>试用三个月后支付至90%。</w:t>
            </w:r>
            <w:r>
              <w:rPr>
                <w:rFonts w:hint="eastAsia" w:ascii="仿宋" w:hAnsi="仿宋" w:eastAsia="仿宋" w:cs="仿宋"/>
                <w:b w:val="0"/>
                <w:bCs w:val="0"/>
                <w:color w:val="auto"/>
                <w:sz w:val="28"/>
                <w:szCs w:val="28"/>
                <w:highlight w:val="none"/>
                <w:lang w:eastAsia="zh-CN"/>
              </w:rPr>
              <w:t>二年质保期满后一个月内付</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lang w:eastAsia="zh-CN"/>
              </w:rPr>
              <w:t>%货款，五年使用期满后一个月内付</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%货款。</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26" w:name="_Toc15118"/>
            <w:bookmarkStart w:id="227" w:name="_Toc144887256"/>
            <w:bookmarkStart w:id="228" w:name="_Toc900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信誉要求</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pPr>
              <w:spacing w:line="380" w:lineRule="exact"/>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kern w:val="0"/>
                <w:sz w:val="28"/>
                <w:szCs w:val="28"/>
                <w:highlight w:val="none"/>
              </w:rPr>
              <w:t>3.在投标截止时间前，</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其他要求</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1.</w:t>
            </w:r>
            <w:r>
              <w:rPr>
                <w:rStyle w:val="49"/>
                <w:rFonts w:hint="eastAsia" w:ascii="仿宋" w:hAnsi="仿宋" w:eastAsia="仿宋" w:cs="仿宋"/>
                <w:bCs/>
                <w:color w:val="auto"/>
                <w:sz w:val="28"/>
                <w:szCs w:val="28"/>
                <w:highlight w:val="none"/>
              </w:rPr>
              <w:t>本项目发布成交结果公告后，通过电子交易系统向中标（成交）供应商发出成交通知书。成交通知书发出视为已送达，投标供应商应主动登录电子交易系统查询，采购代理机构不承担投标供应商未及时关注相关信息引发的相关责任）。</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2.谈判文件的解释权归采购人所有，由采购人负责解释。</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3.如谈判文件中出现前后不一致的描述，解释优先顺序依次为供应商须知前附表＞评标办法＞谈判文件其他内容。</w:t>
            </w:r>
          </w:p>
          <w:p>
            <w:pPr>
              <w:spacing w:line="380" w:lineRule="exact"/>
              <w:rPr>
                <w:rFonts w:hint="eastAsia" w:ascii="仿宋" w:hAnsi="仿宋" w:eastAsia="仿宋" w:cs="仿宋"/>
                <w:color w:val="auto"/>
                <w:kern w:val="0"/>
                <w:sz w:val="28"/>
                <w:szCs w:val="28"/>
                <w:highlight w:val="none"/>
              </w:rPr>
            </w:pPr>
            <w:r>
              <w:rPr>
                <w:rStyle w:val="49"/>
                <w:rFonts w:hint="eastAsia" w:ascii="仿宋" w:hAnsi="仿宋" w:eastAsia="仿宋" w:cs="仿宋"/>
                <w:bCs/>
                <w:color w:val="auto"/>
                <w:kern w:val="0"/>
                <w:sz w:val="28"/>
                <w:szCs w:val="28"/>
                <w:highlight w:val="none"/>
                <w:lang w:val="en-US"/>
              </w:rPr>
              <w:t>4</w:t>
            </w:r>
            <w:r>
              <w:rPr>
                <w:rStyle w:val="49"/>
                <w:rFonts w:hint="eastAsia" w:ascii="仿宋" w:hAnsi="仿宋" w:eastAsia="仿宋" w:cs="仿宋"/>
                <w:bCs/>
                <w:color w:val="auto"/>
                <w:kern w:val="0"/>
                <w:sz w:val="28"/>
                <w:szCs w:val="28"/>
                <w:highlight w:val="none"/>
              </w:rPr>
              <w:t>.</w:t>
            </w:r>
            <w:r>
              <w:rPr>
                <w:rStyle w:val="49"/>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tc>
      </w:tr>
    </w:tbl>
    <w:p>
      <w:pPr>
        <w:jc w:val="center"/>
        <w:rPr>
          <w:color w:val="auto"/>
          <w:sz w:val="44"/>
          <w:szCs w:val="52"/>
          <w:highlight w:val="none"/>
        </w:rPr>
      </w:pPr>
      <w:bookmarkStart w:id="229" w:name="_Toc2958"/>
      <w:bookmarkEnd w:id="229"/>
      <w:bookmarkStart w:id="230" w:name="_Toc9482"/>
      <w:bookmarkEnd w:id="230"/>
      <w:bookmarkStart w:id="231" w:name="_Toc8278"/>
      <w:bookmarkEnd w:id="231"/>
      <w:bookmarkStart w:id="232" w:name="_Toc6139"/>
      <w:bookmarkEnd w:id="232"/>
      <w:bookmarkStart w:id="233" w:name="_Toc17955"/>
      <w:bookmarkStart w:id="234" w:name="_Toc144887248"/>
    </w:p>
    <w:p>
      <w:pPr>
        <w:jc w:val="both"/>
        <w:rPr>
          <w:color w:val="auto"/>
          <w:sz w:val="44"/>
          <w:szCs w:val="52"/>
          <w:highlight w:val="none"/>
        </w:rPr>
      </w:pPr>
    </w:p>
    <w:p>
      <w:pPr>
        <w:pStyle w:val="27"/>
        <w:rPr>
          <w:color w:val="auto"/>
          <w:sz w:val="44"/>
          <w:szCs w:val="52"/>
          <w:highlight w:val="none"/>
        </w:rPr>
      </w:pPr>
    </w:p>
    <w:p>
      <w:pPr>
        <w:pStyle w:val="26"/>
        <w:rPr>
          <w:color w:val="auto"/>
          <w:sz w:val="44"/>
          <w:szCs w:val="52"/>
          <w:highlight w:val="none"/>
        </w:rPr>
      </w:pPr>
    </w:p>
    <w:p>
      <w:pPr>
        <w:pStyle w:val="26"/>
        <w:rPr>
          <w:color w:val="auto"/>
          <w:sz w:val="44"/>
          <w:szCs w:val="52"/>
          <w:highlight w:val="none"/>
        </w:rPr>
      </w:pPr>
    </w:p>
    <w:p>
      <w:pPr>
        <w:pStyle w:val="26"/>
        <w:ind w:left="0" w:leftChars="0" w:firstLine="0" w:firstLineChars="0"/>
        <w:rPr>
          <w:color w:val="auto"/>
          <w:sz w:val="44"/>
          <w:szCs w:val="52"/>
          <w:highlight w:val="none"/>
        </w:rPr>
      </w:pPr>
    </w:p>
    <w:p>
      <w:pPr>
        <w:numPr>
          <w:ilvl w:val="0"/>
          <w:numId w:val="3"/>
        </w:numPr>
        <w:jc w:val="center"/>
        <w:rPr>
          <w:color w:val="auto"/>
          <w:sz w:val="44"/>
          <w:szCs w:val="52"/>
          <w:highlight w:val="none"/>
        </w:rPr>
      </w:pPr>
      <w:r>
        <w:rPr>
          <w:color w:val="auto"/>
          <w:sz w:val="44"/>
          <w:szCs w:val="52"/>
          <w:highlight w:val="none"/>
        </w:rPr>
        <w:t xml:space="preserve"> 采购需求</w:t>
      </w:r>
      <w:bookmarkEnd w:id="233"/>
      <w:bookmarkEnd w:id="234"/>
    </w:p>
    <w:p>
      <w:pPr>
        <w:numPr>
          <w:ilvl w:val="0"/>
          <w:numId w:val="0"/>
        </w:num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采购内容</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8"/>
        <w:gridCol w:w="2461"/>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3"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规格</w:t>
            </w:r>
          </w:p>
        </w:tc>
        <w:tc>
          <w:tcPr>
            <w:tcW w:w="1248"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型号</w:t>
            </w:r>
          </w:p>
        </w:tc>
        <w:tc>
          <w:tcPr>
            <w:tcW w:w="1667"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3" w:type="pct"/>
          </w:tcPr>
          <w:p>
            <w:pPr>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干粉灭火器</w:t>
            </w:r>
          </w:p>
        </w:tc>
        <w:tc>
          <w:tcPr>
            <w:tcW w:w="1248"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4公斤</w:t>
            </w:r>
          </w:p>
        </w:tc>
        <w:tc>
          <w:tcPr>
            <w:tcW w:w="1667" w:type="pct"/>
          </w:tcPr>
          <w:p>
            <w:pPr>
              <w:spacing w:line="500" w:lineRule="exact"/>
              <w:ind w:firstLine="560" w:firstLineChars="20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3278支</w:t>
            </w:r>
          </w:p>
        </w:tc>
      </w:tr>
    </w:tbl>
    <w:p>
      <w:pPr>
        <w:spacing w:line="500" w:lineRule="exact"/>
        <w:jc w:val="center"/>
        <w:rPr>
          <w:rFonts w:hint="eastAsia" w:ascii="仿宋" w:hAnsi="仿宋" w:eastAsia="仿宋" w:cs="仿宋"/>
          <w:b/>
          <w:bCs/>
          <w:color w:val="auto"/>
          <w:sz w:val="28"/>
          <w:szCs w:val="28"/>
          <w:highlight w:val="none"/>
          <w:lang w:val="en-US" w:eastAsia="zh-CN"/>
        </w:rPr>
      </w:pPr>
      <w:bookmarkStart w:id="302" w:name="_GoBack"/>
      <w:bookmarkEnd w:id="302"/>
      <w:r>
        <w:rPr>
          <w:rFonts w:hint="eastAsia" w:ascii="仿宋" w:hAnsi="仿宋" w:eastAsia="仿宋" w:cs="仿宋"/>
          <w:b/>
          <w:bCs/>
          <w:color w:val="auto"/>
          <w:sz w:val="28"/>
          <w:szCs w:val="28"/>
          <w:highlight w:val="none"/>
          <w:lang w:val="en-US" w:eastAsia="zh-CN"/>
        </w:rPr>
        <w:t>干粉灭火器具体参数</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灭火剂质量（kg）</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有效喷射时间（s）</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有效喷射距离（m）</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喷射滞后时间（s）</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喷射剩余率%</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电绝缘性（kv）</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灭火级别</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2A、55B</w:t>
            </w:r>
          </w:p>
        </w:tc>
      </w:tr>
    </w:tbl>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1、成交供应商供货时提供产品出厂合格证及同一批次的质检报告。若未按要求提供，采购人有权取消供应商成交资格，供应商承担一切经济损失。</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2、供应商报价必须包含配件价格。</w:t>
      </w:r>
    </w:p>
    <w:p>
      <w:pPr>
        <w:spacing w:line="5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3、灭火器生产时间距开标之日起不得超过2个月。</w:t>
      </w:r>
      <w:r>
        <w:rPr>
          <w:rFonts w:hint="eastAsia" w:ascii="仿宋" w:hAnsi="仿宋" w:eastAsia="仿宋" w:cs="仿宋"/>
          <w:b/>
          <w:bCs/>
          <w:color w:val="FF0000"/>
          <w:sz w:val="28"/>
          <w:szCs w:val="28"/>
          <w:highlight w:val="none"/>
          <w:lang w:val="en-US" w:eastAsia="zh-CN"/>
        </w:rPr>
        <w:t>（响应文件中需提供相关证明，并加盖单位公章）</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4、产品质量标准：产品合格，符合相关质量标准和行业要求，消防相关部门在进行检查时候需保证通过响应的检查。</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5、该批次产品质量保证期限2年，质保期内出现任何质量问题由成交人无偿更换新产品（人为原因损坏除外）。</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6、在3-5年使用期限内，该批次产品出现任何质量问题由成交人无偿更换配件。</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7、执行标准:GB4351.1-2005、GB4351.2-2005、GB5099-1994。</w:t>
      </w: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jc w:val="center"/>
        <w:rPr>
          <w:rFonts w:hint="default"/>
          <w:color w:val="auto"/>
          <w:sz w:val="44"/>
          <w:szCs w:val="52"/>
          <w:highlight w:val="none"/>
        </w:rPr>
      </w:pPr>
      <w:bookmarkStart w:id="235" w:name="_Toc3469"/>
      <w:r>
        <w:rPr>
          <w:color w:val="auto"/>
          <w:sz w:val="44"/>
          <w:szCs w:val="52"/>
          <w:highlight w:val="none"/>
        </w:rPr>
        <w:t>第</w:t>
      </w:r>
      <w:r>
        <w:rPr>
          <w:rFonts w:hint="eastAsia"/>
          <w:color w:val="auto"/>
          <w:sz w:val="44"/>
          <w:szCs w:val="52"/>
          <w:highlight w:val="none"/>
          <w:lang w:val="en-US" w:eastAsia="zh-CN"/>
        </w:rPr>
        <w:t>四</w:t>
      </w:r>
      <w:r>
        <w:rPr>
          <w:color w:val="auto"/>
          <w:sz w:val="44"/>
          <w:szCs w:val="52"/>
          <w:highlight w:val="none"/>
        </w:rPr>
        <w:t>章</w:t>
      </w:r>
      <w:bookmarkStart w:id="236" w:name="_bookmark5"/>
      <w:bookmarkEnd w:id="236"/>
      <w:bookmarkStart w:id="237" w:name="_Toc32219"/>
      <w:bookmarkEnd w:id="237"/>
      <w:bookmarkStart w:id="238" w:name="第六章_采购合同"/>
      <w:bookmarkEnd w:id="238"/>
      <w:r>
        <w:rPr>
          <w:color w:val="auto"/>
          <w:sz w:val="44"/>
          <w:szCs w:val="52"/>
          <w:highlight w:val="none"/>
        </w:rPr>
        <w:t xml:space="preserve"> 评审方法和标准</w:t>
      </w:r>
      <w:bookmarkEnd w:id="226"/>
      <w:bookmarkEnd w:id="227"/>
      <w:bookmarkEnd w:id="228"/>
      <w:bookmarkEnd w:id="235"/>
    </w:p>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rPr>
        <w:t>一、评</w:t>
      </w:r>
      <w:bookmarkStart w:id="239" w:name="_Toc15111"/>
      <w:bookmarkEnd w:id="239"/>
      <w:bookmarkStart w:id="240" w:name="_Toc12747"/>
      <w:bookmarkEnd w:id="240"/>
      <w:bookmarkStart w:id="241" w:name="_Toc25584"/>
      <w:bookmarkEnd w:id="241"/>
      <w:bookmarkStart w:id="242" w:name="一、综合评分法"/>
      <w:bookmarkEnd w:id="242"/>
      <w:bookmarkStart w:id="243" w:name="_Toc29916"/>
      <w:bookmarkEnd w:id="243"/>
      <w:bookmarkStart w:id="244" w:name="_Toc7795"/>
      <w:bookmarkEnd w:id="244"/>
      <w:bookmarkStart w:id="245" w:name="_Toc20047"/>
      <w:bookmarkEnd w:id="245"/>
      <w:bookmarkStart w:id="246" w:name="_Toc24785"/>
      <w:bookmarkEnd w:id="246"/>
      <w:bookmarkStart w:id="247" w:name="_Toc19002"/>
      <w:bookmarkEnd w:id="247"/>
      <w:bookmarkStart w:id="248" w:name="_Toc18525"/>
      <w:bookmarkEnd w:id="248"/>
      <w:bookmarkStart w:id="249" w:name="_Toc16256"/>
      <w:bookmarkStart w:id="250" w:name="_Toc25485"/>
      <w:bookmarkStart w:id="251" w:name="_Toc31525"/>
      <w:bookmarkStart w:id="252" w:name="_Toc30333"/>
      <w:r>
        <w:rPr>
          <w:rStyle w:val="49"/>
          <w:rFonts w:hint="eastAsia" w:ascii="宋体" w:hAnsi="宋体" w:eastAsia="宋体" w:cs="宋体"/>
          <w:bCs/>
          <w:color w:val="auto"/>
          <w:sz w:val="28"/>
          <w:szCs w:val="28"/>
          <w:highlight w:val="none"/>
        </w:rPr>
        <w:t>审方法</w:t>
      </w:r>
    </w:p>
    <w:p>
      <w:pPr>
        <w:widowControl/>
        <w:snapToGrid w:val="0"/>
        <w:spacing w:line="440" w:lineRule="exact"/>
        <w:ind w:firstLine="560" w:firstLineChars="200"/>
        <w:jc w:val="left"/>
        <w:outlineLvl w:val="9"/>
        <w:rPr>
          <w:rStyle w:val="49"/>
          <w:rFonts w:hint="eastAsia" w:ascii="宋体" w:hAnsi="宋体" w:eastAsia="宋体" w:cs="宋体"/>
          <w:color w:val="auto"/>
          <w:sz w:val="28"/>
          <w:szCs w:val="28"/>
          <w:highlight w:val="none"/>
        </w:rPr>
      </w:pPr>
      <w:r>
        <w:rPr>
          <w:rStyle w:val="49"/>
          <w:rFonts w:hint="eastAsia" w:ascii="宋体" w:hAnsi="宋体" w:eastAsia="宋体" w:cs="宋体"/>
          <w:color w:val="auto"/>
          <w:sz w:val="28"/>
          <w:szCs w:val="28"/>
          <w:highlight w:val="none"/>
        </w:rPr>
        <w:t>以价格为主要因素确定成交候选供应商，即在全部满足谈判文件实质性要求前提下，根据各家</w:t>
      </w:r>
      <w:r>
        <w:rPr>
          <w:rStyle w:val="49"/>
          <w:rFonts w:hint="eastAsia" w:ascii="宋体" w:hAnsi="宋体" w:eastAsia="宋体" w:cs="宋体"/>
          <w:color w:val="auto"/>
          <w:sz w:val="28"/>
          <w:szCs w:val="28"/>
          <w:highlight w:val="none"/>
          <w:lang w:val="en-US"/>
        </w:rPr>
        <w:t>第二轮</w:t>
      </w:r>
      <w:r>
        <w:rPr>
          <w:rStyle w:val="49"/>
          <w:rFonts w:hint="eastAsia" w:ascii="宋体" w:hAnsi="宋体" w:eastAsia="宋体" w:cs="宋体"/>
          <w:color w:val="auto"/>
          <w:sz w:val="28"/>
          <w:szCs w:val="28"/>
          <w:highlight w:val="none"/>
        </w:rPr>
        <w:t>报价由低到高排出成交候选供应商。</w:t>
      </w:r>
    </w:p>
    <w:p>
      <w:pPr>
        <w:widowControl/>
        <w:snapToGrid w:val="0"/>
        <w:spacing w:line="440" w:lineRule="exact"/>
        <w:ind w:firstLine="560" w:firstLineChars="200"/>
        <w:jc w:val="left"/>
        <w:outlineLvl w:val="9"/>
        <w:rPr>
          <w:rStyle w:val="49"/>
          <w:rFonts w:hint="default" w:ascii="宋体" w:hAnsi="宋体" w:eastAsia="宋体" w:cs="宋体"/>
          <w:color w:val="auto"/>
          <w:sz w:val="28"/>
          <w:szCs w:val="28"/>
          <w:highlight w:val="none"/>
          <w:lang w:val="en-US"/>
        </w:rPr>
      </w:pPr>
      <w:r>
        <w:rPr>
          <w:rStyle w:val="49"/>
          <w:rFonts w:hint="eastAsia" w:ascii="宋体" w:hAnsi="宋体" w:eastAsia="宋体" w:cs="宋体"/>
          <w:color w:val="auto"/>
          <w:sz w:val="28"/>
          <w:szCs w:val="28"/>
          <w:highlight w:val="none"/>
          <w:lang w:val="en-US"/>
        </w:rPr>
        <w:t>注：第二轮报价不得高于一次报价，否则作响应无效处理。投标供应商如放弃第二轮报价，则以首轮报价为准。</w:t>
      </w:r>
    </w:p>
    <w:p>
      <w:pPr>
        <w:widowControl/>
        <w:snapToGrid w:val="0"/>
        <w:spacing w:line="440" w:lineRule="exact"/>
        <w:ind w:firstLine="560" w:firstLineChars="200"/>
        <w:jc w:val="left"/>
        <w:textAlignment w:val="baseline"/>
        <w:outlineLvl w:val="9"/>
        <w:rPr>
          <w:rFonts w:hint="eastAsia" w:ascii="宋体" w:hAnsi="宋体" w:eastAsia="宋体" w:cs="宋体"/>
          <w:color w:val="auto"/>
          <w:sz w:val="28"/>
          <w:szCs w:val="28"/>
          <w:highlight w:val="none"/>
          <w:lang w:val="en"/>
        </w:rPr>
      </w:pPr>
      <w:r>
        <w:rPr>
          <w:rStyle w:val="49"/>
          <w:rFonts w:hint="eastAsia" w:ascii="宋体" w:hAnsi="宋体" w:eastAsia="宋体" w:cs="宋体"/>
          <w:color w:val="auto"/>
          <w:sz w:val="28"/>
          <w:szCs w:val="28"/>
          <w:highlight w:val="none"/>
        </w:rPr>
        <w:t>谈判过程中，</w:t>
      </w:r>
      <w:r>
        <w:rPr>
          <w:rFonts w:hint="eastAsia" w:ascii="宋体" w:hAnsi="宋体" w:eastAsia="宋体" w:cs="宋体"/>
          <w:color w:val="auto"/>
          <w:sz w:val="28"/>
          <w:szCs w:val="28"/>
          <w:highlight w:val="none"/>
          <w:lang w:val="en"/>
        </w:rPr>
        <w:t>谈判小组认为投标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的报价明显低于其他通过符合性审查投标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的报价，有可能影响</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val="en"/>
        </w:rPr>
        <w:t>质量或者不能诚信履约的，</w:t>
      </w:r>
      <w:r>
        <w:rPr>
          <w:rStyle w:val="49"/>
          <w:rFonts w:hint="eastAsia" w:ascii="宋体" w:hAnsi="宋体" w:eastAsia="宋体" w:cs="宋体"/>
          <w:color w:val="auto"/>
          <w:kern w:val="0"/>
          <w:sz w:val="28"/>
          <w:szCs w:val="28"/>
          <w:highlight w:val="none"/>
        </w:rPr>
        <w:t>应当要求其在规定时间（</w:t>
      </w:r>
      <w:r>
        <w:rPr>
          <w:rStyle w:val="49"/>
          <w:rFonts w:hint="eastAsia" w:ascii="宋体" w:hAnsi="宋体" w:eastAsia="宋体" w:cs="宋体"/>
          <w:color w:val="auto"/>
          <w:kern w:val="0"/>
          <w:sz w:val="28"/>
          <w:szCs w:val="28"/>
          <w:highlight w:val="none"/>
          <w:lang w:val="en-US"/>
        </w:rPr>
        <w:t>15</w:t>
      </w:r>
      <w:r>
        <w:rPr>
          <w:rStyle w:val="49"/>
          <w:rFonts w:hint="eastAsia" w:ascii="宋体" w:hAnsi="宋体" w:eastAsia="宋体" w:cs="宋体"/>
          <w:color w:val="auto"/>
          <w:kern w:val="0"/>
          <w:sz w:val="28"/>
          <w:szCs w:val="28"/>
          <w:highlight w:val="none"/>
        </w:rPr>
        <w:t>分钟）内提供书面说明</w:t>
      </w:r>
      <w:r>
        <w:rPr>
          <w:rFonts w:hint="eastAsia" w:ascii="宋体" w:hAnsi="宋体" w:eastAsia="宋体" w:cs="宋体"/>
          <w:color w:val="auto"/>
          <w:sz w:val="28"/>
          <w:szCs w:val="28"/>
          <w:highlight w:val="none"/>
          <w:lang w:val="en"/>
        </w:rPr>
        <w:t>，必要时提交相关证明材料；投标供应商不能证明其报价合理性的，谈判小组应当将其作为无效投标处理。</w:t>
      </w:r>
    </w:p>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lang w:val="en-US"/>
        </w:rPr>
        <w:t>二</w:t>
      </w:r>
      <w:r>
        <w:rPr>
          <w:rStyle w:val="49"/>
          <w:rFonts w:hint="eastAsia" w:ascii="宋体" w:hAnsi="宋体" w:eastAsia="宋体" w:cs="宋体"/>
          <w:bCs/>
          <w:color w:val="auto"/>
          <w:sz w:val="28"/>
          <w:szCs w:val="28"/>
          <w:highlight w:val="none"/>
        </w:rPr>
        <w:t>、评审标准</w:t>
      </w:r>
    </w:p>
    <w:p>
      <w:pPr>
        <w:widowControl/>
        <w:snapToGrid w:val="0"/>
        <w:spacing w:line="440" w:lineRule="exact"/>
        <w:ind w:firstLine="560" w:firstLineChars="200"/>
        <w:jc w:val="left"/>
        <w:textAlignment w:val="baseline"/>
        <w:outlineLvl w:val="9"/>
        <w:rPr>
          <w:rStyle w:val="49"/>
          <w:rFonts w:hint="eastAsia" w:ascii="宋体" w:hAnsi="宋体" w:eastAsia="宋体" w:cs="宋体"/>
          <w:color w:val="auto"/>
          <w:sz w:val="28"/>
          <w:szCs w:val="28"/>
          <w:highlight w:val="none"/>
        </w:rPr>
      </w:pPr>
      <w:r>
        <w:rPr>
          <w:rStyle w:val="49"/>
          <w:rFonts w:hint="eastAsia" w:ascii="宋体" w:hAnsi="宋体" w:eastAsia="宋体" w:cs="宋体"/>
          <w:color w:val="auto"/>
          <w:sz w:val="28"/>
          <w:szCs w:val="28"/>
          <w:highlight w:val="none"/>
        </w:rPr>
        <w:t>对所有谈判供应商的评审，都采用相同的程序和标准。评审过程将严格按照谈判文件的要求和条件进行。</w:t>
      </w:r>
    </w:p>
    <w:p>
      <w:pPr>
        <w:widowControl/>
        <w:snapToGrid w:val="0"/>
        <w:spacing w:line="440" w:lineRule="exact"/>
        <w:jc w:val="center"/>
        <w:textAlignment w:val="baseline"/>
        <w:outlineLvl w:val="9"/>
        <w:rPr>
          <w:rStyle w:val="49"/>
          <w:rFonts w:hint="eastAsia" w:ascii="宋体" w:hAnsi="宋体" w:eastAsia="宋体" w:cs="宋体"/>
          <w:b/>
          <w:bCs/>
          <w:color w:val="auto"/>
          <w:sz w:val="28"/>
          <w:szCs w:val="28"/>
          <w:highlight w:val="none"/>
        </w:rPr>
      </w:pPr>
      <w:r>
        <w:rPr>
          <w:rStyle w:val="49"/>
          <w:rFonts w:hint="eastAsia" w:ascii="宋体" w:hAnsi="宋体" w:eastAsia="宋体" w:cs="宋体"/>
          <w:b/>
          <w:bCs/>
          <w:color w:val="auto"/>
          <w:sz w:val="28"/>
          <w:szCs w:val="28"/>
          <w:highlight w:val="none"/>
        </w:rPr>
        <w:t>初步评审</w:t>
      </w:r>
    </w:p>
    <w:tbl>
      <w:tblPr>
        <w:tblStyle w:val="28"/>
        <w:tblW w:w="10166" w:type="dxa"/>
        <w:tblInd w:w="-11" w:type="dxa"/>
        <w:tblLayout w:type="fixed"/>
        <w:tblCellMar>
          <w:top w:w="0" w:type="dxa"/>
          <w:left w:w="0" w:type="dxa"/>
          <w:bottom w:w="0" w:type="dxa"/>
          <w:right w:w="0" w:type="dxa"/>
        </w:tblCellMar>
      </w:tblPr>
      <w:tblGrid>
        <w:gridCol w:w="594"/>
        <w:gridCol w:w="2342"/>
        <w:gridCol w:w="5800"/>
        <w:gridCol w:w="1430"/>
      </w:tblGrid>
      <w:tr>
        <w:tblPrEx>
          <w:tblCellMar>
            <w:top w:w="0" w:type="dxa"/>
            <w:left w:w="0" w:type="dxa"/>
            <w:bottom w:w="0" w:type="dxa"/>
            <w:right w:w="0" w:type="dxa"/>
          </w:tblCellMar>
        </w:tblPrEx>
        <w:trPr>
          <w:trHeight w:val="57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序号</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指标名称</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指标要求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是否通过</w:t>
            </w:r>
          </w:p>
        </w:tc>
      </w:tr>
      <w:tr>
        <w:tblPrEx>
          <w:tblCellMar>
            <w:top w:w="0" w:type="dxa"/>
            <w:left w:w="0" w:type="dxa"/>
            <w:bottom w:w="0" w:type="dxa"/>
            <w:right w:w="0" w:type="dxa"/>
          </w:tblCellMar>
        </w:tblPrEx>
        <w:trPr>
          <w:trHeight w:val="68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1</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谈判响应文件盖章</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符合谈判响应文件格式盖章或签字要求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2</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谈判响应文件内容</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0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3</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投标报价</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default" w:ascii="宋体" w:hAnsi="宋体" w:eastAsia="宋体" w:cs="宋体"/>
                <w:color w:val="auto"/>
                <w:kern w:val="0"/>
                <w:sz w:val="28"/>
                <w:szCs w:val="28"/>
                <w:highlight w:val="none"/>
                <w:lang w:val="en-US"/>
              </w:rPr>
            </w:pPr>
            <w:r>
              <w:rPr>
                <w:rStyle w:val="49"/>
                <w:rFonts w:hint="eastAsia" w:ascii="宋体" w:hAnsi="宋体" w:eastAsia="宋体" w:cs="宋体"/>
                <w:color w:val="auto"/>
                <w:kern w:val="0"/>
                <w:sz w:val="28"/>
                <w:szCs w:val="28"/>
                <w:highlight w:val="none"/>
              </w:rPr>
              <w:t>不得</w:t>
            </w:r>
            <w:r>
              <w:rPr>
                <w:rStyle w:val="49"/>
                <w:rFonts w:hint="eastAsia" w:eastAsia="宋体" w:cs="宋体"/>
                <w:color w:val="auto"/>
                <w:kern w:val="0"/>
                <w:sz w:val="28"/>
                <w:szCs w:val="28"/>
                <w:highlight w:val="none"/>
                <w:lang w:val="en-US"/>
              </w:rPr>
              <w:t>高于最高限价</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65"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4</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供应商资格</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7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5</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eastAsia="宋体" w:cs="宋体"/>
                <w:color w:val="auto"/>
                <w:kern w:val="0"/>
                <w:sz w:val="28"/>
                <w:szCs w:val="28"/>
                <w:highlight w:val="none"/>
              </w:rPr>
              <w:t>供货期限</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6</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both"/>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lang w:val="en-US"/>
              </w:rPr>
              <w:t>谈判</w:t>
            </w:r>
            <w:r>
              <w:rPr>
                <w:rStyle w:val="49"/>
                <w:rFonts w:hint="eastAsia" w:ascii="宋体" w:hAnsi="宋体" w:eastAsia="宋体" w:cs="宋体"/>
                <w:color w:val="auto"/>
                <w:kern w:val="0"/>
                <w:sz w:val="28"/>
                <w:szCs w:val="28"/>
                <w:highlight w:val="none"/>
              </w:rPr>
              <w:t>有效期</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both"/>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bl>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lang w:val="en-US"/>
        </w:rPr>
        <w:t>三</w:t>
      </w:r>
      <w:r>
        <w:rPr>
          <w:rStyle w:val="49"/>
          <w:rFonts w:hint="eastAsia" w:ascii="宋体" w:hAnsi="宋体" w:eastAsia="宋体" w:cs="宋体"/>
          <w:bCs/>
          <w:color w:val="auto"/>
          <w:sz w:val="28"/>
          <w:szCs w:val="28"/>
          <w:highlight w:val="none"/>
        </w:rPr>
        <w:t>、评审结果</w:t>
      </w:r>
    </w:p>
    <w:p>
      <w:pPr>
        <w:spacing w:line="440" w:lineRule="exact"/>
        <w:jc w:val="both"/>
        <w:outlineLvl w:val="9"/>
        <w:rPr>
          <w:rFonts w:hint="eastAsia" w:ascii="宋体" w:hAnsi="宋体" w:eastAsia="宋体" w:cs="宋体"/>
          <w:color w:val="auto"/>
          <w:highlight w:val="none"/>
        </w:rPr>
      </w:pPr>
      <w:r>
        <w:rPr>
          <w:rStyle w:val="49"/>
          <w:rFonts w:hint="eastAsia" w:ascii="宋体" w:hAnsi="宋体" w:eastAsia="宋体" w:cs="宋体"/>
          <w:b w:val="0"/>
          <w:color w:val="auto"/>
          <w:sz w:val="28"/>
          <w:szCs w:val="28"/>
          <w:highlight w:val="none"/>
        </w:rPr>
        <w:t xml:space="preserve"> </w:t>
      </w:r>
      <w:r>
        <w:rPr>
          <w:rStyle w:val="49"/>
          <w:rFonts w:hint="eastAsia" w:ascii="宋体" w:hAnsi="宋体" w:eastAsia="宋体" w:cs="宋体"/>
          <w:b w:val="0"/>
          <w:bCs w:val="0"/>
          <w:color w:val="auto"/>
          <w:sz w:val="28"/>
          <w:szCs w:val="28"/>
          <w:highlight w:val="none"/>
        </w:rPr>
        <w:t xml:space="preserve">   </w:t>
      </w:r>
      <w:bookmarkStart w:id="253" w:name="_Toc144887257"/>
      <w:bookmarkStart w:id="254" w:name="_Toc144880867"/>
      <w:bookmarkStart w:id="255" w:name="_Toc23973"/>
      <w:bookmarkStart w:id="256" w:name="_Toc26"/>
      <w:r>
        <w:rPr>
          <w:rStyle w:val="49"/>
          <w:rFonts w:hint="eastAsia" w:ascii="宋体" w:hAnsi="宋体" w:eastAsia="宋体" w:cs="宋体"/>
          <w:b w:val="0"/>
          <w:bCs w:val="0"/>
          <w:color w:val="auto"/>
          <w:sz w:val="28"/>
          <w:szCs w:val="28"/>
          <w:highlight w:val="none"/>
        </w:rPr>
        <w:t>谈判小组应当从质量和服务均能满足采购文件实质性响应要求的供应商中，</w:t>
      </w:r>
      <w:r>
        <w:rPr>
          <w:rStyle w:val="49"/>
          <w:rFonts w:hint="eastAsia" w:ascii="宋体" w:hAnsi="宋体" w:eastAsia="宋体" w:cs="宋体"/>
          <w:b/>
          <w:bCs/>
          <w:color w:val="auto"/>
          <w:sz w:val="28"/>
          <w:szCs w:val="28"/>
          <w:highlight w:val="none"/>
        </w:rPr>
        <w:t>按照</w:t>
      </w:r>
      <w:r>
        <w:rPr>
          <w:rStyle w:val="49"/>
          <w:rFonts w:hint="eastAsia" w:ascii="宋体" w:hAnsi="宋体" w:eastAsia="宋体" w:cs="宋体"/>
          <w:b/>
          <w:bCs/>
          <w:color w:val="auto"/>
          <w:sz w:val="28"/>
          <w:szCs w:val="28"/>
          <w:highlight w:val="none"/>
          <w:lang w:val="en-US"/>
        </w:rPr>
        <w:t>第二轮</w:t>
      </w:r>
      <w:r>
        <w:rPr>
          <w:rStyle w:val="49"/>
          <w:rFonts w:hint="eastAsia" w:ascii="宋体" w:hAnsi="宋体" w:eastAsia="宋体" w:cs="宋体"/>
          <w:b/>
          <w:bCs/>
          <w:color w:val="auto"/>
          <w:sz w:val="28"/>
          <w:szCs w:val="28"/>
          <w:highlight w:val="none"/>
        </w:rPr>
        <w:t>报价由低到高的顺序</w:t>
      </w:r>
      <w:r>
        <w:rPr>
          <w:rStyle w:val="49"/>
          <w:rFonts w:hint="eastAsia" w:ascii="宋体" w:hAnsi="宋体" w:eastAsia="宋体" w:cs="宋体"/>
          <w:b/>
          <w:bCs/>
          <w:color w:val="auto"/>
          <w:sz w:val="28"/>
          <w:szCs w:val="28"/>
          <w:highlight w:val="none"/>
          <w:lang w:val="en-US"/>
        </w:rPr>
        <w:t>确定</w:t>
      </w:r>
      <w:r>
        <w:rPr>
          <w:rStyle w:val="49"/>
          <w:rFonts w:hint="eastAsia" w:ascii="宋体" w:hAnsi="宋体" w:eastAsia="宋体" w:cs="宋体"/>
          <w:b/>
          <w:bCs/>
          <w:color w:val="auto"/>
          <w:sz w:val="28"/>
          <w:szCs w:val="28"/>
          <w:highlight w:val="none"/>
        </w:rPr>
        <w:t>成交人，并编写评审报告。</w:t>
      </w:r>
      <w:bookmarkEnd w:id="253"/>
      <w:bookmarkEnd w:id="254"/>
      <w:r>
        <w:rPr>
          <w:rStyle w:val="49"/>
          <w:rFonts w:hint="eastAsia" w:ascii="宋体" w:eastAsia="宋体" w:cs="宋体"/>
          <w:b/>
          <w:bCs/>
          <w:color w:val="auto"/>
          <w:sz w:val="28"/>
          <w:szCs w:val="28"/>
          <w:highlight w:val="none"/>
          <w:lang w:val="en-US"/>
        </w:rPr>
        <w:t>第二轮</w:t>
      </w:r>
      <w:r>
        <w:rPr>
          <w:rStyle w:val="49"/>
          <w:rFonts w:hint="eastAsia" w:ascii="宋体" w:hAnsi="宋体" w:eastAsia="宋体" w:cs="宋体"/>
          <w:b/>
          <w:bCs/>
          <w:color w:val="auto"/>
          <w:sz w:val="28"/>
          <w:szCs w:val="28"/>
          <w:highlight w:val="none"/>
        </w:rPr>
        <w:t>报价相同的，则由谈判小组采取随机抽取方式确定成交</w:t>
      </w:r>
      <w:r>
        <w:rPr>
          <w:rStyle w:val="49"/>
          <w:rFonts w:hint="eastAsia" w:ascii="宋体" w:eastAsia="宋体" w:cs="宋体"/>
          <w:b/>
          <w:bCs/>
          <w:color w:val="auto"/>
          <w:sz w:val="28"/>
          <w:szCs w:val="28"/>
          <w:highlight w:val="none"/>
          <w:lang w:val="en-US"/>
        </w:rPr>
        <w:t>人</w:t>
      </w:r>
      <w:r>
        <w:rPr>
          <w:rStyle w:val="49"/>
          <w:rFonts w:hint="eastAsia" w:ascii="宋体" w:hAnsi="宋体" w:eastAsia="宋体" w:cs="宋体"/>
          <w:b/>
          <w:bCs/>
          <w:color w:val="auto"/>
          <w:sz w:val="28"/>
          <w:szCs w:val="28"/>
          <w:highlight w:val="none"/>
        </w:rPr>
        <w:t>。</w:t>
      </w:r>
      <w:bookmarkEnd w:id="255"/>
      <w:bookmarkEnd w:id="256"/>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bookmarkEnd w:id="249"/>
    <w:bookmarkEnd w:id="250"/>
    <w:bookmarkEnd w:id="251"/>
    <w:bookmarkEnd w:id="252"/>
    <w:p>
      <w:pPr>
        <w:pStyle w:val="44"/>
        <w:spacing w:after="0"/>
        <w:jc w:val="center"/>
        <w:outlineLvl w:val="0"/>
        <w:rPr>
          <w:rStyle w:val="47"/>
          <w:rFonts w:hint="eastAsia" w:ascii="宋体" w:hAnsi="宋体" w:eastAsia="宋体" w:cs="宋体"/>
          <w:b w:val="0"/>
          <w:bCs w:val="0"/>
          <w:color w:val="auto"/>
          <w:sz w:val="44"/>
          <w:szCs w:val="44"/>
          <w:highlight w:val="none"/>
        </w:rPr>
      </w:pPr>
      <w:bookmarkStart w:id="257" w:name="_Toc3934"/>
      <w:bookmarkStart w:id="258" w:name="_Toc10362"/>
      <w:bookmarkStart w:id="259" w:name="_Toc18817"/>
      <w:bookmarkStart w:id="260" w:name="_Toc405"/>
      <w:bookmarkStart w:id="261" w:name="_Toc20948"/>
      <w:bookmarkStart w:id="262" w:name="_Toc29307"/>
      <w:bookmarkStart w:id="263" w:name="_Toc29341"/>
      <w:bookmarkStart w:id="264" w:name="_Toc144887259"/>
      <w:r>
        <w:rPr>
          <w:rStyle w:val="47"/>
          <w:rFonts w:hint="eastAsia" w:ascii="宋体" w:hAnsi="宋体" w:eastAsia="宋体" w:cs="宋体"/>
          <w:b w:val="0"/>
          <w:bCs w:val="0"/>
          <w:color w:val="auto"/>
          <w:sz w:val="44"/>
          <w:szCs w:val="44"/>
          <w:highlight w:val="none"/>
        </w:rPr>
        <w:t>第</w:t>
      </w:r>
      <w:r>
        <w:rPr>
          <w:rStyle w:val="47"/>
          <w:rFonts w:hint="eastAsia" w:ascii="宋体" w:hAnsi="宋体" w:eastAsia="宋体" w:cs="宋体"/>
          <w:b w:val="0"/>
          <w:bCs w:val="0"/>
          <w:color w:val="auto"/>
          <w:sz w:val="44"/>
          <w:szCs w:val="44"/>
          <w:highlight w:val="none"/>
          <w:lang w:val="en-US" w:eastAsia="zh-CN"/>
        </w:rPr>
        <w:t>五</w:t>
      </w:r>
      <w:r>
        <w:rPr>
          <w:rStyle w:val="47"/>
          <w:rFonts w:hint="eastAsia" w:ascii="宋体" w:hAnsi="宋体" w:eastAsia="宋体" w:cs="宋体"/>
          <w:b w:val="0"/>
          <w:bCs w:val="0"/>
          <w:color w:val="auto"/>
          <w:sz w:val="44"/>
          <w:szCs w:val="44"/>
          <w:highlight w:val="none"/>
        </w:rPr>
        <w:t>章  合同协议书</w:t>
      </w:r>
      <w:bookmarkEnd w:id="257"/>
      <w:bookmarkEnd w:id="258"/>
      <w:bookmarkEnd w:id="259"/>
      <w:bookmarkEnd w:id="260"/>
    </w:p>
    <w:p>
      <w:pPr>
        <w:pStyle w:val="55"/>
        <w:spacing w:line="500" w:lineRule="exact"/>
        <w:rPr>
          <w:rFonts w:ascii="仿宋" w:hAnsi="仿宋" w:eastAsia="仿宋" w:cs="仿宋"/>
          <w:color w:val="auto"/>
          <w:sz w:val="28"/>
          <w:szCs w:val="28"/>
          <w:highlight w:val="none"/>
          <w:u w:val="single"/>
        </w:rPr>
      </w:pPr>
      <w:bookmarkStart w:id="265" w:name="_Toc1478"/>
      <w:bookmarkStart w:id="266" w:name="_Toc21400"/>
      <w:bookmarkStart w:id="267" w:name="_Toc17559"/>
      <w:r>
        <w:rPr>
          <w:rFonts w:hint="eastAsia" w:ascii="仿宋" w:hAnsi="仿宋" w:eastAsia="仿宋" w:cs="仿宋"/>
          <w:color w:val="auto"/>
          <w:sz w:val="28"/>
          <w:szCs w:val="28"/>
          <w:highlight w:val="none"/>
        </w:rPr>
        <w:t>采购人（甲方）：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pStyle w:val="55"/>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供应商（乙方）：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pStyle w:val="55"/>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签订地点：</w:t>
      </w:r>
      <w:r>
        <w:rPr>
          <w:rFonts w:hint="eastAsia" w:ascii="仿宋" w:hAnsi="仿宋" w:eastAsia="仿宋" w:cs="仿宋"/>
          <w:color w:val="auto"/>
          <w:sz w:val="28"/>
          <w:szCs w:val="28"/>
          <w:highlight w:val="none"/>
          <w:u w:val="single"/>
        </w:rPr>
        <w:t xml:space="preserve">                         </w:t>
      </w:r>
    </w:p>
    <w:p>
      <w:pPr>
        <w:pStyle w:val="55"/>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pPr>
        <w:pStyle w:val="55"/>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（采购人名称，以下简称：甲方）通过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（采购代理机构名称）组织的</w:t>
      </w:r>
      <w:r>
        <w:rPr>
          <w:rFonts w:hint="eastAsia" w:ascii="仿宋" w:hAnsi="仿宋" w:eastAsia="仿宋" w:cs="仿宋"/>
          <w:color w:val="auto"/>
          <w:sz w:val="28"/>
          <w:szCs w:val="28"/>
          <w:highlight w:val="none"/>
          <w:u w:val="single"/>
        </w:rPr>
        <w:t>竞争性谈判</w:t>
      </w:r>
      <w:r>
        <w:rPr>
          <w:rFonts w:hint="eastAsia" w:ascii="仿宋" w:hAnsi="仿宋" w:eastAsia="仿宋" w:cs="仿宋"/>
          <w:color w:val="auto"/>
          <w:sz w:val="28"/>
          <w:szCs w:val="28"/>
          <w:highlight w:val="none"/>
        </w:rPr>
        <w:t>采购方式采购活动，经谈判小组评定，</w:t>
      </w:r>
      <w:r>
        <w:rPr>
          <w:rFonts w:hint="eastAsia" w:ascii="仿宋" w:hAnsi="仿宋" w:eastAsia="仿宋" w:cs="仿宋"/>
          <w:i/>
          <w:iCs/>
          <w:color w:val="auto"/>
          <w:sz w:val="28"/>
          <w:szCs w:val="28"/>
          <w:highlight w:val="none"/>
          <w:u w:val="single"/>
        </w:rPr>
        <w:t xml:space="preserve">        </w:t>
      </w:r>
      <w:r>
        <w:rPr>
          <w:rFonts w:hint="eastAsia" w:ascii="仿宋" w:hAnsi="仿宋" w:eastAsia="仿宋" w:cs="仿宋"/>
          <w:color w:val="auto"/>
          <w:sz w:val="28"/>
          <w:szCs w:val="28"/>
          <w:highlight w:val="none"/>
        </w:rPr>
        <w:t>（中标（成交）供应商名称，以下简称：乙方）为本项目中标（成交）供应商，现按照采购文件确定的事项签订本合同。</w:t>
      </w:r>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根据《中华人民共和国民法典》等相关法律法规之规定，按照平等、自愿、公平和诚实信用的原则，经甲方和乙方协商一致，约定以下合同条款，以兹共同遵守、全面履行。</w:t>
      </w:r>
    </w:p>
    <w:p>
      <w:pPr>
        <w:spacing w:line="500" w:lineRule="exact"/>
        <w:outlineLvl w:val="3"/>
        <w:rPr>
          <w:rFonts w:ascii="仿宋" w:hAnsi="仿宋" w:eastAsia="仿宋" w:cs="仿宋"/>
          <w:b/>
          <w:bCs/>
          <w:color w:val="auto"/>
          <w:sz w:val="28"/>
          <w:szCs w:val="28"/>
          <w:highlight w:val="none"/>
        </w:rPr>
      </w:pPr>
      <w:bookmarkStart w:id="268" w:name="_Toc24059"/>
      <w:bookmarkEnd w:id="268"/>
      <w:bookmarkStart w:id="269" w:name="_Toc2232"/>
      <w:bookmarkEnd w:id="269"/>
      <w:bookmarkStart w:id="270" w:name="_Toc3029"/>
      <w:r>
        <w:rPr>
          <w:rFonts w:hint="eastAsia" w:ascii="仿宋" w:hAnsi="仿宋" w:eastAsia="仿宋" w:cs="仿宋"/>
          <w:b/>
          <w:bCs/>
          <w:color w:val="auto"/>
          <w:sz w:val="28"/>
          <w:szCs w:val="28"/>
          <w:highlight w:val="none"/>
        </w:rPr>
        <w:t>一、 合同组成部分</w:t>
      </w:r>
      <w:bookmarkEnd w:id="270"/>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 本合同及其补充合同、变更协议；</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 成交通知书；</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 谈判响应文件（含澄清或者说明文件）；</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 谈判文件（含澄清或者修改文件）；</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 其他相关采购文件。</w:t>
      </w:r>
    </w:p>
    <w:p>
      <w:pPr>
        <w:spacing w:line="500" w:lineRule="exact"/>
        <w:outlineLvl w:val="3"/>
        <w:rPr>
          <w:rFonts w:ascii="仿宋" w:hAnsi="仿宋" w:eastAsia="仿宋" w:cs="仿宋"/>
          <w:b/>
          <w:bCs/>
          <w:color w:val="auto"/>
          <w:sz w:val="28"/>
          <w:szCs w:val="28"/>
          <w:highlight w:val="none"/>
        </w:rPr>
      </w:pPr>
      <w:bookmarkStart w:id="271" w:name="_Toc24300"/>
      <w:bookmarkEnd w:id="271"/>
      <w:bookmarkStart w:id="272" w:name="_Toc21295"/>
      <w:bookmarkEnd w:id="272"/>
      <w:bookmarkStart w:id="273" w:name="_Toc27126"/>
      <w:r>
        <w:rPr>
          <w:rFonts w:hint="eastAsia" w:ascii="仿宋" w:hAnsi="仿宋" w:eastAsia="仿宋" w:cs="仿宋"/>
          <w:b/>
          <w:bCs/>
          <w:color w:val="auto"/>
          <w:sz w:val="28"/>
          <w:szCs w:val="28"/>
          <w:highlight w:val="none"/>
        </w:rPr>
        <w:t xml:space="preserve">二、 </w:t>
      </w:r>
      <w:bookmarkEnd w:id="273"/>
      <w:r>
        <w:rPr>
          <w:rFonts w:hint="eastAsia" w:ascii="仿宋" w:hAnsi="仿宋" w:eastAsia="仿宋" w:cs="仿宋"/>
          <w:b/>
          <w:bCs/>
          <w:color w:val="auto"/>
          <w:sz w:val="28"/>
          <w:szCs w:val="28"/>
          <w:highlight w:val="none"/>
        </w:rPr>
        <w:t>分项内容</w:t>
      </w: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762"/>
        <w:gridCol w:w="2340"/>
        <w:gridCol w:w="1605"/>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2762"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货物名称</w:t>
            </w:r>
          </w:p>
        </w:tc>
        <w:tc>
          <w:tcPr>
            <w:tcW w:w="2340"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品牌规格型号</w:t>
            </w:r>
          </w:p>
        </w:tc>
        <w:tc>
          <w:tcPr>
            <w:tcW w:w="1605"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单位</w:t>
            </w:r>
          </w:p>
        </w:tc>
        <w:tc>
          <w:tcPr>
            <w:tcW w:w="2221"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bl>
    <w:p>
      <w:pPr>
        <w:numPr>
          <w:ilvl w:val="0"/>
          <w:numId w:val="0"/>
        </w:numPr>
        <w:spacing w:line="500" w:lineRule="exact"/>
        <w:ind w:leftChars="0"/>
        <w:outlineLvl w:val="3"/>
        <w:rPr>
          <w:rStyle w:val="49"/>
          <w:rFonts w:hint="eastAsia" w:ascii="仿宋" w:hAnsi="仿宋" w:eastAsia="仿宋" w:cs="仿宋"/>
          <w:b/>
          <w:bCs/>
          <w:color w:val="auto"/>
          <w:sz w:val="28"/>
          <w:szCs w:val="28"/>
          <w:highlight w:val="none"/>
        </w:rPr>
      </w:pPr>
      <w:r>
        <w:rPr>
          <w:rStyle w:val="49"/>
          <w:rFonts w:hint="eastAsia" w:ascii="仿宋" w:hAnsi="仿宋" w:eastAsia="仿宋" w:cs="仿宋"/>
          <w:b/>
          <w:bCs/>
          <w:color w:val="auto"/>
          <w:sz w:val="28"/>
          <w:szCs w:val="28"/>
          <w:highlight w:val="none"/>
          <w:lang w:val="en-US"/>
        </w:rPr>
        <w:t>三、</w:t>
      </w:r>
      <w:r>
        <w:rPr>
          <w:rStyle w:val="49"/>
          <w:rFonts w:hint="eastAsia" w:ascii="仿宋" w:hAnsi="仿宋" w:eastAsia="仿宋" w:cs="仿宋"/>
          <w:b/>
          <w:bCs/>
          <w:color w:val="auto"/>
          <w:sz w:val="28"/>
          <w:szCs w:val="28"/>
          <w:highlight w:val="none"/>
        </w:rPr>
        <w:t>产品质量标准：</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1</w:t>
      </w:r>
      <w:r>
        <w:rPr>
          <w:rStyle w:val="49"/>
          <w:rFonts w:hint="eastAsia" w:ascii="仿宋" w:hAnsi="仿宋" w:eastAsia="仿宋" w:cs="仿宋"/>
          <w:color w:val="auto"/>
          <w:sz w:val="28"/>
          <w:szCs w:val="28"/>
          <w:highlight w:val="none"/>
        </w:rPr>
        <w:t>、产品质量标准：产品合格，符合相关质量标准和行业要求，消防相关部门在进行检查时候需保证通过响应的检查。</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2</w:t>
      </w:r>
      <w:r>
        <w:rPr>
          <w:rStyle w:val="49"/>
          <w:rFonts w:hint="eastAsia" w:ascii="仿宋" w:hAnsi="仿宋" w:eastAsia="仿宋" w:cs="仿宋"/>
          <w:color w:val="auto"/>
          <w:sz w:val="28"/>
          <w:szCs w:val="28"/>
          <w:highlight w:val="none"/>
        </w:rPr>
        <w:t>、该批次产品质量保证期限2年，质保期内出现任何质量问题由</w:t>
      </w:r>
      <w:r>
        <w:rPr>
          <w:rStyle w:val="49"/>
          <w:rFonts w:hint="eastAsia" w:ascii="仿宋" w:hAnsi="仿宋" w:eastAsia="仿宋" w:cs="仿宋"/>
          <w:color w:val="auto"/>
          <w:sz w:val="28"/>
          <w:szCs w:val="28"/>
          <w:highlight w:val="none"/>
          <w:lang w:val="en-US"/>
        </w:rPr>
        <w:t>乙方</w:t>
      </w:r>
      <w:r>
        <w:rPr>
          <w:rStyle w:val="49"/>
          <w:rFonts w:hint="eastAsia" w:ascii="仿宋" w:hAnsi="仿宋" w:eastAsia="仿宋" w:cs="仿宋"/>
          <w:color w:val="auto"/>
          <w:sz w:val="28"/>
          <w:szCs w:val="28"/>
          <w:highlight w:val="none"/>
        </w:rPr>
        <w:t>无偿更换新产品（人为原因损坏除外）。</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3</w:t>
      </w:r>
      <w:r>
        <w:rPr>
          <w:rStyle w:val="49"/>
          <w:rFonts w:hint="eastAsia" w:ascii="仿宋" w:hAnsi="仿宋" w:eastAsia="仿宋" w:cs="仿宋"/>
          <w:color w:val="auto"/>
          <w:sz w:val="28"/>
          <w:szCs w:val="28"/>
          <w:highlight w:val="none"/>
        </w:rPr>
        <w:t>、在3-5年使用期限内，该批次产品出现任何质量问题由</w:t>
      </w:r>
      <w:r>
        <w:rPr>
          <w:rStyle w:val="49"/>
          <w:rFonts w:hint="eastAsia" w:ascii="仿宋" w:hAnsi="仿宋" w:eastAsia="仿宋" w:cs="仿宋"/>
          <w:color w:val="auto"/>
          <w:sz w:val="28"/>
          <w:szCs w:val="28"/>
          <w:highlight w:val="none"/>
          <w:lang w:val="en-US"/>
        </w:rPr>
        <w:t>乙方</w:t>
      </w:r>
      <w:r>
        <w:rPr>
          <w:rStyle w:val="49"/>
          <w:rFonts w:hint="eastAsia" w:ascii="仿宋" w:hAnsi="仿宋" w:eastAsia="仿宋" w:cs="仿宋"/>
          <w:color w:val="auto"/>
          <w:sz w:val="28"/>
          <w:szCs w:val="28"/>
          <w:highlight w:val="none"/>
        </w:rPr>
        <w:t>无偿更换配件。</w:t>
      </w:r>
    </w:p>
    <w:p>
      <w:pPr>
        <w:spacing w:line="500" w:lineRule="exact"/>
        <w:ind w:firstLine="560" w:firstLineChars="200"/>
        <w:outlineLvl w:val="3"/>
        <w:rPr>
          <w:rFonts w:hint="eastAsia" w:ascii="仿宋" w:hAnsi="仿宋" w:eastAsia="仿宋" w:cs="仿宋"/>
          <w:b/>
          <w:bCs/>
          <w:color w:val="auto"/>
          <w:sz w:val="28"/>
          <w:szCs w:val="28"/>
          <w:highlight w:val="none"/>
        </w:rPr>
      </w:pPr>
      <w:r>
        <w:rPr>
          <w:rStyle w:val="49"/>
          <w:rFonts w:hint="eastAsia" w:ascii="仿宋" w:hAnsi="仿宋" w:eastAsia="仿宋" w:cs="仿宋"/>
          <w:color w:val="auto"/>
          <w:sz w:val="28"/>
          <w:szCs w:val="28"/>
          <w:highlight w:val="none"/>
          <w:lang w:val="en-US"/>
        </w:rPr>
        <w:t>4</w:t>
      </w:r>
      <w:r>
        <w:rPr>
          <w:rStyle w:val="49"/>
          <w:rFonts w:hint="eastAsia" w:ascii="仿宋" w:hAnsi="仿宋" w:eastAsia="仿宋" w:cs="仿宋"/>
          <w:color w:val="auto"/>
          <w:sz w:val="28"/>
          <w:szCs w:val="28"/>
          <w:highlight w:val="none"/>
        </w:rPr>
        <w:t>、执行标准:GB4351.1-2005、GB4351.2-2005、GB5099-1994。</w:t>
      </w:r>
    </w:p>
    <w:p>
      <w:pPr>
        <w:spacing w:line="500" w:lineRule="exact"/>
        <w:outlineLvl w:val="3"/>
        <w:rPr>
          <w:rFonts w:ascii="仿宋" w:hAnsi="仿宋" w:eastAsia="仿宋" w:cs="仿宋"/>
          <w:b/>
          <w:bCs/>
          <w:color w:val="auto"/>
          <w:sz w:val="28"/>
          <w:szCs w:val="28"/>
          <w:highlight w:val="none"/>
        </w:rPr>
      </w:pPr>
      <w:bookmarkStart w:id="274" w:name="_Toc21631"/>
      <w:bookmarkEnd w:id="274"/>
      <w:bookmarkStart w:id="275" w:name="_Toc23292"/>
      <w:bookmarkEnd w:id="275"/>
      <w:bookmarkStart w:id="276" w:name="_Toc21551"/>
      <w:r>
        <w:rPr>
          <w:rFonts w:hint="eastAsia" w:ascii="仿宋" w:hAnsi="仿宋" w:eastAsia="仿宋" w:cs="仿宋"/>
          <w:b/>
          <w:bCs/>
          <w:color w:val="auto"/>
          <w:sz w:val="28"/>
          <w:szCs w:val="28"/>
          <w:highlight w:val="none"/>
        </w:rPr>
        <w:t>四、价款</w:t>
      </w:r>
      <w:bookmarkEnd w:id="276"/>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本合同总价为：￥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spacing w:line="500" w:lineRule="exact"/>
        <w:outlineLvl w:val="3"/>
        <w:rPr>
          <w:rFonts w:ascii="仿宋" w:hAnsi="仿宋" w:eastAsia="仿宋" w:cs="仿宋"/>
          <w:b/>
          <w:bCs/>
          <w:color w:val="auto"/>
          <w:sz w:val="28"/>
          <w:szCs w:val="28"/>
          <w:highlight w:val="none"/>
        </w:rPr>
      </w:pPr>
      <w:bookmarkStart w:id="277" w:name="_Toc10340"/>
      <w:bookmarkEnd w:id="277"/>
      <w:bookmarkStart w:id="278" w:name="_Toc1814"/>
      <w:bookmarkEnd w:id="278"/>
      <w:bookmarkStart w:id="279" w:name="_Toc22618"/>
      <w:r>
        <w:rPr>
          <w:rFonts w:hint="eastAsia" w:ascii="仿宋" w:hAnsi="仿宋" w:eastAsia="仿宋" w:cs="仿宋"/>
          <w:b/>
          <w:bCs/>
          <w:color w:val="auto"/>
          <w:sz w:val="28"/>
          <w:szCs w:val="28"/>
          <w:highlight w:val="none"/>
        </w:rPr>
        <w:t>五、付款方式</w:t>
      </w:r>
      <w:bookmarkEnd w:id="279"/>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1、付款方式：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2、发票开具方式：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outlineLvl w:val="3"/>
        <w:rPr>
          <w:rFonts w:ascii="仿宋" w:hAnsi="仿宋" w:eastAsia="仿宋" w:cs="仿宋"/>
          <w:b/>
          <w:bCs/>
          <w:color w:val="auto"/>
          <w:sz w:val="28"/>
          <w:szCs w:val="28"/>
          <w:highlight w:val="none"/>
        </w:rPr>
      </w:pPr>
      <w:bookmarkStart w:id="280" w:name="_Toc32071"/>
      <w:bookmarkEnd w:id="280"/>
      <w:bookmarkStart w:id="281" w:name="_Toc19304"/>
      <w:bookmarkEnd w:id="281"/>
      <w:bookmarkStart w:id="282" w:name="_Toc2846"/>
      <w:r>
        <w:rPr>
          <w:rFonts w:hint="eastAsia" w:ascii="仿宋" w:hAnsi="仿宋" w:eastAsia="仿宋" w:cs="仿宋"/>
          <w:b/>
          <w:bCs/>
          <w:color w:val="auto"/>
          <w:sz w:val="28"/>
          <w:szCs w:val="28"/>
          <w:highlight w:val="none"/>
        </w:rPr>
        <w:t>六、货物交付期限、地点和方式</w:t>
      </w:r>
      <w:bookmarkEnd w:id="282"/>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1、交付期限：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2、交付地点：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3、交付方式：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outlineLvl w:val="3"/>
        <w:rPr>
          <w:rFonts w:ascii="仿宋" w:hAnsi="仿宋" w:eastAsia="仿宋" w:cs="仿宋"/>
          <w:b/>
          <w:bCs/>
          <w:color w:val="auto"/>
          <w:sz w:val="28"/>
          <w:szCs w:val="28"/>
          <w:highlight w:val="none"/>
        </w:rPr>
      </w:pPr>
      <w:bookmarkStart w:id="283" w:name="_Toc19554"/>
      <w:bookmarkEnd w:id="283"/>
      <w:bookmarkStart w:id="284" w:name="_Toc27250"/>
      <w:bookmarkEnd w:id="284"/>
      <w:bookmarkStart w:id="285" w:name="_Toc21423"/>
      <w:r>
        <w:rPr>
          <w:rFonts w:hint="eastAsia" w:ascii="仿宋" w:hAnsi="仿宋" w:eastAsia="仿宋" w:cs="仿宋"/>
          <w:b/>
          <w:bCs/>
          <w:color w:val="auto"/>
          <w:sz w:val="28"/>
          <w:szCs w:val="28"/>
          <w:highlight w:val="none"/>
        </w:rPr>
        <w:t>七、违约责任</w:t>
      </w:r>
      <w:bookmarkEnd w:id="285"/>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 w:val="28"/>
          <w:szCs w:val="28"/>
          <w:highlight w:val="none"/>
          <w:u w:val="single"/>
        </w:rPr>
        <w:t xml:space="preserve"> 0.5 </w:t>
      </w:r>
      <w:r>
        <w:rPr>
          <w:rFonts w:hint="eastAsia" w:ascii="仿宋" w:hAnsi="仿宋" w:eastAsia="仿宋" w:cs="仿宋"/>
          <w:color w:val="auto"/>
          <w:sz w:val="28"/>
          <w:szCs w:val="28"/>
          <w:highlight w:val="none"/>
        </w:rPr>
        <w:t>%计算，最高限额为本合同总价的</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%；迟延交付货物的违约金计算数额达到前述最高限额之日起，甲方有权在要求乙方支付违约金的同时，书面通知乙方解除本合同；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8"/>
          <w:szCs w:val="28"/>
          <w:highlight w:val="none"/>
          <w:u w:val="single"/>
        </w:rPr>
        <w:t xml:space="preserve"> 0.5 </w:t>
      </w:r>
      <w:r>
        <w:rPr>
          <w:rFonts w:hint="eastAsia" w:ascii="仿宋" w:hAnsi="仿宋" w:eastAsia="仿宋" w:cs="仿宋"/>
          <w:color w:val="auto"/>
          <w:sz w:val="28"/>
          <w:szCs w:val="28"/>
          <w:highlight w:val="none"/>
        </w:rPr>
        <w:t>%计算，最高限额为本合同总价的</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%；迟延付款的违约金计算数额达到前述最高限额之日起，乙方有权在要求甲方支付违约金的同时，书面通知甲方解除本合同；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八、转让与分包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1、除甲方事先书面同意外，乙方不得部分转让或全部转让其应履行的合同义务。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2、乙方应在谈判响应文件中或以其他书面形式对甲方确认本合同项下所授予的所有分包合同。但该确认不解除乙方承担的本合同下的任何责任或义务。意即在本合同项下，乙方对甲方负总责。</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九、合同文件及资料的使用</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1、乙方在未经甲方同意的情况下，不得将合同、合同中的规定、有关计划、样本或甲方为上述内容向乙方提供的资料透露给任何人。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2、除非执行合同需要，在事先未得到甲方同意的情况下，乙方不得使用前款所列的任何文件和资料。</w:t>
      </w:r>
    </w:p>
    <w:p>
      <w:pPr>
        <w:spacing w:line="500" w:lineRule="exact"/>
        <w:outlineLvl w:val="3"/>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十、合同争议的解决</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本合同履行过程中发生的任何争议，双方当事人均可通过和解或者调解解决；不愿和解、调解或者和解、调解不成的，可以向</w:t>
      </w:r>
      <w:r>
        <w:rPr>
          <w:rFonts w:hint="eastAsia" w:ascii="仿宋" w:hAnsi="仿宋" w:eastAsia="仿宋" w:cs="仿宋"/>
          <w:color w:val="auto"/>
          <w:sz w:val="28"/>
          <w:szCs w:val="28"/>
          <w:highlight w:val="none"/>
          <w:u w:val="single"/>
          <w:lang w:val="en-US" w:eastAsia="zh-CN"/>
        </w:rPr>
        <w:t>项目所在地</w:t>
      </w:r>
      <w:r>
        <w:rPr>
          <w:rFonts w:hint="eastAsia" w:ascii="仿宋" w:hAnsi="仿宋" w:eastAsia="仿宋" w:cs="仿宋"/>
          <w:color w:val="auto"/>
          <w:sz w:val="28"/>
          <w:szCs w:val="28"/>
          <w:highlight w:val="none"/>
        </w:rPr>
        <w:t>人民法院起诉：</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十一、其他</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1、乙方必须认真履行本合同以及谈判文件、谈判响应文件中约定的服务条款。</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2、其他要求依据乙方投标书中所作的承诺执行。</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3、若在服务期间，如果有投诉或服务不到位，除按上述处罚外甲方有权从乙方。   </w:t>
      </w:r>
    </w:p>
    <w:p>
      <w:pPr>
        <w:spacing w:line="500" w:lineRule="exact"/>
        <w:outlineLvl w:val="3"/>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十二、合同生效</w:t>
      </w:r>
    </w:p>
    <w:p>
      <w:pPr>
        <w:pStyle w:val="55"/>
        <w:autoSpaceDE w:val="0"/>
        <w:spacing w:line="500" w:lineRule="exact"/>
        <w:ind w:firstLine="560" w:firstLineChars="200"/>
        <w:rPr>
          <w:rStyle w:val="49"/>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自双方当事人签字或盖章之日起生效，补充协议同样具有法律效应。</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采购人（甲方）：（公章）              供货人（乙方）：（公章）  </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法定代表人或委托代理人：              法定代表人或委托代理人： </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                          签字或盖章：</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                                电话：</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pPr>
        <w:pStyle w:val="56"/>
        <w:spacing w:line="500" w:lineRule="exact"/>
        <w:ind w:firstLine="560" w:firstLineChars="200"/>
        <w:jc w:val="left"/>
        <w:rPr>
          <w:rStyle w:val="49"/>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pPr>
        <w:pStyle w:val="2"/>
        <w:jc w:val="center"/>
        <w:rPr>
          <w:rFonts w:hint="default" w:ascii="宋体" w:eastAsia="宋体" w:cs="宋体"/>
          <w:color w:val="auto"/>
          <w:sz w:val="28"/>
          <w:szCs w:val="28"/>
          <w:highlight w:val="none"/>
        </w:rPr>
      </w:pPr>
      <w:bookmarkStart w:id="286" w:name="_bookmark6"/>
      <w:bookmarkEnd w:id="286"/>
      <w:bookmarkStart w:id="287" w:name="第七章_投标文件格式"/>
      <w:bookmarkEnd w:id="287"/>
    </w:p>
    <w:p>
      <w:pPr>
        <w:jc w:val="center"/>
        <w:outlineLvl w:val="0"/>
        <w:rPr>
          <w:rFonts w:ascii="方正小标宋简体" w:hAnsi="仿宋" w:eastAsia="方正小标宋简体" w:cs="仿宋"/>
          <w:b w:val="0"/>
          <w:color w:val="auto"/>
          <w:sz w:val="44"/>
          <w:szCs w:val="44"/>
          <w:highlight w:val="none"/>
        </w:rPr>
      </w:pPr>
    </w:p>
    <w:p>
      <w:pPr>
        <w:rPr>
          <w:color w:val="auto"/>
          <w:highlight w:val="none"/>
        </w:rPr>
      </w:pPr>
    </w:p>
    <w:p>
      <w:pPr>
        <w:pStyle w:val="4"/>
        <w:rPr>
          <w:color w:val="auto"/>
          <w:highlight w:val="none"/>
        </w:rPr>
      </w:pPr>
    </w:p>
    <w:p>
      <w:pPr>
        <w:pStyle w:val="4"/>
        <w:rPr>
          <w:color w:val="auto"/>
          <w:highlight w:val="none"/>
        </w:rPr>
      </w:pPr>
    </w:p>
    <w:p>
      <w:pPr>
        <w:rPr>
          <w:color w:val="auto"/>
          <w:highlight w:val="none"/>
        </w:rPr>
      </w:pPr>
    </w:p>
    <w:p>
      <w:pPr>
        <w:jc w:val="center"/>
        <w:rPr>
          <w:rFonts w:hint="default"/>
          <w:color w:val="auto"/>
          <w:sz w:val="40"/>
          <w:szCs w:val="48"/>
          <w:highlight w:val="none"/>
        </w:rPr>
      </w:pPr>
      <w:r>
        <w:rPr>
          <w:color w:val="auto"/>
          <w:sz w:val="40"/>
          <w:szCs w:val="48"/>
          <w:highlight w:val="none"/>
        </w:rPr>
        <w:t>第</w:t>
      </w:r>
      <w:bookmarkEnd w:id="261"/>
      <w:bookmarkEnd w:id="262"/>
      <w:bookmarkEnd w:id="263"/>
      <w:r>
        <w:rPr>
          <w:rFonts w:hint="eastAsia"/>
          <w:color w:val="auto"/>
          <w:sz w:val="40"/>
          <w:szCs w:val="48"/>
          <w:highlight w:val="none"/>
          <w:lang w:val="en-US" w:eastAsia="zh-CN"/>
        </w:rPr>
        <w:t>六</w:t>
      </w:r>
      <w:r>
        <w:rPr>
          <w:color w:val="auto"/>
          <w:sz w:val="40"/>
          <w:szCs w:val="48"/>
          <w:highlight w:val="none"/>
        </w:rPr>
        <w:t>章 谈判响应文件格式</w:t>
      </w:r>
      <w:bookmarkEnd w:id="264"/>
      <w:bookmarkEnd w:id="265"/>
      <w:bookmarkEnd w:id="266"/>
      <w:bookmarkEnd w:id="267"/>
    </w:p>
    <w:p>
      <w:pPr>
        <w:jc w:val="left"/>
        <w:outlineLvl w:val="9"/>
        <w:rPr>
          <w:rFonts w:ascii="楷体_GB2312" w:eastAsia="楷体_GB2312" w:cs="楷体_GB2312"/>
          <w:color w:val="auto"/>
          <w:szCs w:val="28"/>
          <w:highlight w:val="none"/>
        </w:rPr>
      </w:pPr>
      <w:r>
        <w:rPr>
          <w:rFonts w:ascii="Calibri" w:hAnsi="Calibri" w:eastAsia="Calibri" w:cs="Times New Roman"/>
          <w:color w:val="auto"/>
          <w:kern w:val="0"/>
          <w:sz w:val="20"/>
          <w:szCs w:val="22"/>
          <w:highlight w:val="none"/>
          <w:lang w:bidi="ar"/>
        </w:rPr>
        <w:t xml:space="preserve"> </w:t>
      </w:r>
    </w:p>
    <w:p>
      <w:pPr>
        <w:jc w:val="center"/>
        <w:outlineLvl w:val="9"/>
        <w:rPr>
          <w:rFonts w:hint="eastAsia" w:eastAsiaTheme="minorEastAsia"/>
          <w:color w:val="auto"/>
          <w:sz w:val="44"/>
          <w:szCs w:val="52"/>
          <w:highlight w:val="none"/>
          <w:lang w:eastAsia="zh-CN"/>
        </w:rPr>
      </w:pPr>
      <w:r>
        <w:rPr>
          <w:rFonts w:hint="eastAsia"/>
          <w:color w:val="auto"/>
          <w:sz w:val="44"/>
          <w:szCs w:val="52"/>
          <w:highlight w:val="none"/>
          <w:lang w:eastAsia="zh-CN"/>
        </w:rPr>
        <w:t>部分项目部灭火器欠压、过期需采购更新</w:t>
      </w:r>
    </w:p>
    <w:p>
      <w:pPr>
        <w:pStyle w:val="7"/>
        <w:adjustRightInd w:val="0"/>
        <w:snapToGrid w:val="0"/>
        <w:spacing w:before="62" w:beforeLines="20" w:after="62" w:afterLines="20" w:line="360" w:lineRule="auto"/>
        <w:ind w:right="-4" w:rightChars="-2" w:firstLine="3156" w:firstLineChars="607"/>
        <w:outlineLvl w:val="9"/>
        <w:rPr>
          <w:rFonts w:hint="eastAsia" w:ascii="方正小标宋简体" w:hAnsi="黑体" w:eastAsia="方正小标宋简体" w:cs="仿宋"/>
          <w:color w:val="auto"/>
          <w:sz w:val="52"/>
          <w:szCs w:val="52"/>
          <w:highlight w:val="none"/>
        </w:rPr>
      </w:pPr>
    </w:p>
    <w:p>
      <w:pPr>
        <w:jc w:val="center"/>
        <w:rPr>
          <w:b/>
          <w:bCs/>
          <w:color w:val="auto"/>
          <w:sz w:val="52"/>
          <w:szCs w:val="72"/>
          <w:highlight w:val="none"/>
        </w:rPr>
      </w:pPr>
      <w:r>
        <w:rPr>
          <w:rFonts w:hint="eastAsia"/>
          <w:b/>
          <w:bCs/>
          <w:color w:val="auto"/>
          <w:sz w:val="52"/>
          <w:szCs w:val="72"/>
          <w:highlight w:val="none"/>
        </w:rPr>
        <w:t>响  应  文  件</w:t>
      </w:r>
    </w:p>
    <w:p>
      <w:pPr>
        <w:pStyle w:val="7"/>
        <w:adjustRightInd w:val="0"/>
        <w:snapToGrid w:val="0"/>
        <w:spacing w:before="62" w:beforeLines="20" w:after="62" w:afterLines="20" w:line="360" w:lineRule="auto"/>
        <w:ind w:right="-4" w:rightChars="-2" w:firstLine="4200" w:firstLineChars="1500"/>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jc w:val="center"/>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ATZB2024-035</w:t>
      </w: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投标供应商：</w:t>
      </w:r>
      <w:r>
        <w:rPr>
          <w:rFonts w:hint="eastAsia" w:ascii="宋体" w:hAnsi="宋体" w:eastAsia="宋体" w:cs="宋体"/>
          <w:b/>
          <w:bCs/>
          <w:color w:val="auto"/>
          <w:sz w:val="28"/>
          <w:szCs w:val="28"/>
          <w:highlight w:val="none"/>
          <w:u w:val="single"/>
        </w:rPr>
        <w:t xml:space="preserve">              （盖章）                    </w:t>
      </w: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w:t>
      </w:r>
      <w:r>
        <w:rPr>
          <w:rFonts w:hint="eastAsia" w:ascii="宋体" w:hAnsi="宋体" w:eastAsia="宋体" w:cs="宋体"/>
          <w:b/>
          <w:color w:val="auto"/>
          <w:sz w:val="28"/>
          <w:szCs w:val="28"/>
          <w:highlight w:val="none"/>
        </w:rPr>
        <w:t>（单位负责人）</w:t>
      </w:r>
      <w:r>
        <w:rPr>
          <w:rFonts w:hint="eastAsia" w:ascii="宋体" w:hAnsi="宋体" w:eastAsia="宋体" w:cs="宋体"/>
          <w:b/>
          <w:bCs/>
          <w:color w:val="auto"/>
          <w:sz w:val="28"/>
          <w:szCs w:val="28"/>
          <w:highlight w:val="none"/>
        </w:rPr>
        <w:t>或其委托代理人：</w:t>
      </w:r>
      <w:r>
        <w:rPr>
          <w:rFonts w:hint="eastAsia" w:ascii="宋体" w:hAnsi="宋体" w:eastAsia="宋体" w:cs="宋体"/>
          <w:b/>
          <w:bCs/>
          <w:color w:val="auto"/>
          <w:sz w:val="28"/>
          <w:szCs w:val="28"/>
          <w:highlight w:val="none"/>
          <w:u w:val="single"/>
        </w:rPr>
        <w:t xml:space="preserve">   （签字或盖章） </w:t>
      </w:r>
    </w:p>
    <w:p>
      <w:pPr>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spacing w:line="440" w:lineRule="exact"/>
        <w:jc w:val="center"/>
        <w:outlineLvl w:val="9"/>
        <w:rPr>
          <w:rFonts w:hint="eastAsia" w:ascii="仿宋" w:hAnsi="仿宋" w:eastAsia="仿宋" w:cs="仿宋"/>
          <w:b/>
          <w:color w:val="auto"/>
          <w:sz w:val="28"/>
          <w:szCs w:val="28"/>
          <w:highlight w:val="none"/>
        </w:rPr>
      </w:pPr>
    </w:p>
    <w:p>
      <w:pPr>
        <w:spacing w:line="440" w:lineRule="exact"/>
        <w:jc w:val="center"/>
        <w:outlineLvl w:val="9"/>
        <w:rPr>
          <w:rFonts w:hint="eastAsia" w:ascii="仿宋" w:hAnsi="仿宋" w:eastAsia="仿宋" w:cs="仿宋"/>
          <w:b/>
          <w:color w:val="auto"/>
          <w:sz w:val="28"/>
          <w:szCs w:val="28"/>
          <w:highlight w:val="none"/>
        </w:rPr>
      </w:pPr>
    </w:p>
    <w:p>
      <w:pPr>
        <w:pStyle w:val="27"/>
        <w:outlineLvl w:val="9"/>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ind w:left="0" w:leftChars="0" w:firstLine="0" w:firstLineChars="0"/>
        <w:outlineLvl w:val="9"/>
        <w:rPr>
          <w:rFonts w:hint="eastAsia"/>
          <w:color w:val="auto"/>
          <w:highlight w:val="none"/>
        </w:rPr>
      </w:pPr>
    </w:p>
    <w:p>
      <w:pPr>
        <w:spacing w:line="440" w:lineRule="exact"/>
        <w:jc w:val="cente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28"/>
          <w:szCs w:val="28"/>
          <w:highlight w:val="none"/>
          <w:lang w:val="en-US" w:eastAsia="zh-CN" w:bidi="ar-SA"/>
        </w:rPr>
        <w:t>格式1、投标函</w:t>
      </w:r>
    </w:p>
    <w:p>
      <w:pPr>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致：（采购人） </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1、根据贵单位发布的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公告和</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文件，我们决定参加你们组织的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2、我方愿意按照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文件规定的各项要求，向采购人提供所需的货物与服务，投标</w:t>
      </w:r>
      <w:r>
        <w:rPr>
          <w:rFonts w:hint="eastAsia" w:ascii="宋体" w:hAnsi="宋体" w:eastAsia="宋体" w:cs="宋体"/>
          <w:color w:val="auto"/>
          <w:sz w:val="24"/>
          <w:szCs w:val="24"/>
          <w:highlight w:val="none"/>
          <w:lang w:eastAsia="zh-CN"/>
        </w:rPr>
        <w:t>价格为</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质量达到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，我方将严格履行合同规定的责任和义务，保证于合同签字生效后，按规定的</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完成项目的交货安装并交付采购人验收。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日历天；我方承诺完全响应</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文件及补充、澄清、修改文件中的全部内容。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、我方愿意提供采购人可能另外要求的、与投标有关的文件资料，并保证我方已提供和将要提供的文件是真实的、准确的。</w:t>
      </w:r>
    </w:p>
    <w:p>
      <w:pPr>
        <w:tabs>
          <w:tab w:val="left" w:pos="0"/>
          <w:tab w:val="left" w:pos="84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abs>
          <w:tab w:val="left" w:pos="0"/>
          <w:tab w:val="left" w:pos="840"/>
        </w:tabs>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（公    章）                   </w:t>
      </w:r>
    </w:p>
    <w:p>
      <w:pPr>
        <w:spacing w:line="440" w:lineRule="exact"/>
        <w:ind w:firstLine="53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spacing w:line="440" w:lineRule="exact"/>
        <w:ind w:firstLine="53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授权委托人（签字或盖章）：</w:t>
      </w:r>
      <w:r>
        <w:rPr>
          <w:rFonts w:hint="eastAsia" w:ascii="宋体" w:hAnsi="宋体" w:eastAsia="宋体" w:cs="宋体"/>
          <w:color w:val="auto"/>
          <w:sz w:val="24"/>
          <w:szCs w:val="24"/>
          <w:highlight w:val="none"/>
          <w:u w:val="single"/>
        </w:rPr>
        <w:t xml:space="preserve">                          </w:t>
      </w:r>
    </w:p>
    <w:p>
      <w:pPr>
        <w:spacing w:line="440" w:lineRule="exact"/>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通讯地址：</w:t>
      </w:r>
      <w:r>
        <w:rPr>
          <w:rFonts w:hint="eastAsia" w:ascii="宋体" w:hAnsi="宋体" w:eastAsia="宋体" w:cs="宋体"/>
          <w:color w:val="auto"/>
          <w:sz w:val="24"/>
          <w:szCs w:val="24"/>
          <w:highlight w:val="none"/>
          <w:u w:val="single"/>
        </w:rPr>
        <w:t xml:space="preserve">                                        </w:t>
      </w:r>
    </w:p>
    <w:p>
      <w:pPr>
        <w:spacing w:line="440" w:lineRule="exact"/>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pPr>
        <w:spacing w:line="440" w:lineRule="exact"/>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27"/>
        <w:outlineLvl w:val="9"/>
        <w:rPr>
          <w:rFonts w:hint="eastAsia" w:ascii="宋体" w:hAnsi="宋体" w:eastAsia="宋体" w:cs="宋体"/>
          <w:b/>
          <w:color w:val="auto"/>
          <w:sz w:val="24"/>
          <w:szCs w:val="24"/>
          <w:highlight w:val="none"/>
        </w:rPr>
      </w:pPr>
    </w:p>
    <w:p>
      <w:pPr>
        <w:pStyle w:val="26"/>
        <w:outlineLvl w:val="9"/>
        <w:rPr>
          <w:rFonts w:hint="eastAsia" w:ascii="宋体" w:hAnsi="宋体" w:eastAsia="宋体" w:cs="宋体"/>
          <w:b/>
          <w:color w:val="auto"/>
          <w:sz w:val="24"/>
          <w:szCs w:val="24"/>
          <w:highlight w:val="none"/>
        </w:rPr>
      </w:pPr>
    </w:p>
    <w:p>
      <w:pPr>
        <w:pStyle w:val="26"/>
        <w:outlineLvl w:val="9"/>
        <w:rPr>
          <w:rFonts w:hint="eastAsia" w:ascii="宋体" w:hAnsi="宋体" w:eastAsia="宋体" w:cs="宋体"/>
          <w:b/>
          <w:color w:val="auto"/>
          <w:sz w:val="24"/>
          <w:szCs w:val="24"/>
          <w:highlight w:val="none"/>
        </w:rPr>
      </w:pPr>
    </w:p>
    <w:p>
      <w:pPr>
        <w:pStyle w:val="26"/>
        <w:ind w:left="0" w:leftChars="0" w:firstLine="0" w:firstLineChars="0"/>
        <w:outlineLvl w:val="9"/>
        <w:rPr>
          <w:rFonts w:hint="eastAsia" w:ascii="宋体" w:hAnsi="宋体" w:eastAsia="宋体" w:cs="宋体"/>
          <w:b/>
          <w:color w:val="auto"/>
          <w:sz w:val="24"/>
          <w:szCs w:val="24"/>
          <w:highlight w:val="none"/>
        </w:rPr>
      </w:pPr>
    </w:p>
    <w:p>
      <w:pPr>
        <w:pStyle w:val="27"/>
        <w:ind w:left="0" w:leftChars="0" w:firstLine="0" w:firstLineChars="0"/>
        <w:outlineLvl w:val="9"/>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7"/>
        <w:rPr>
          <w:rFonts w:hint="eastAsia" w:ascii="宋体" w:hAnsi="宋体" w:eastAsia="宋体" w:cs="宋体"/>
          <w:color w:val="auto"/>
          <w:sz w:val="24"/>
          <w:szCs w:val="24"/>
          <w:highlight w:val="none"/>
        </w:rPr>
      </w:pPr>
    </w:p>
    <w:p>
      <w:pPr>
        <w:pStyle w:val="26"/>
        <w:rPr>
          <w:rFonts w:hint="eastAsia"/>
          <w:color w:val="auto"/>
          <w:highlight w:val="none"/>
        </w:rPr>
      </w:pPr>
    </w:p>
    <w:p>
      <w:pPr>
        <w:pStyle w:val="27"/>
        <w:ind w:left="0" w:leftChars="0" w:firstLine="0" w:firstLineChars="0"/>
        <w:rPr>
          <w:rFonts w:hint="eastAsia" w:ascii="宋体" w:hAnsi="宋体" w:eastAsia="宋体" w:cs="宋体"/>
          <w:color w:val="auto"/>
          <w:sz w:val="24"/>
          <w:szCs w:val="24"/>
          <w:highlight w:val="none"/>
        </w:rPr>
      </w:pPr>
    </w:p>
    <w:p>
      <w:pPr>
        <w:pStyle w:val="6"/>
        <w:snapToGrid w:val="0"/>
        <w:spacing w:line="420" w:lineRule="atLeast"/>
        <w:ind w:firstLine="0"/>
        <w:jc w:val="both"/>
        <w:rPr>
          <w:rFonts w:hint="eastAsia" w:ascii="宋体" w:hAnsi="宋体" w:eastAsia="宋体" w:cs="宋体"/>
          <w:b/>
          <w:bCs/>
          <w:color w:val="auto"/>
          <w:sz w:val="28"/>
          <w:szCs w:val="28"/>
          <w:highlight w:val="none"/>
          <w:lang w:val="zh-CN"/>
        </w:rPr>
      </w:pPr>
      <w:r>
        <w:rPr>
          <w:rFonts w:hint="eastAsia" w:ascii="宋体" w:hAnsi="宋体" w:eastAsia="宋体" w:cs="宋体"/>
          <w:b/>
          <w:color w:val="auto"/>
          <w:sz w:val="28"/>
          <w:szCs w:val="28"/>
          <w:highlight w:val="none"/>
        </w:rPr>
        <w:t>格式2、</w:t>
      </w:r>
      <w:r>
        <w:rPr>
          <w:rFonts w:hint="eastAsia" w:ascii="宋体" w:hAnsi="宋体" w:eastAsia="宋体" w:cs="宋体"/>
          <w:b/>
          <w:bCs/>
          <w:color w:val="auto"/>
          <w:sz w:val="28"/>
          <w:szCs w:val="28"/>
          <w:highlight w:val="none"/>
          <w:lang w:val="zh-CN"/>
        </w:rPr>
        <w:t>分项报价表</w:t>
      </w:r>
    </w:p>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货币单位：</w:t>
      </w:r>
      <w:r>
        <w:rPr>
          <w:rFonts w:hint="eastAsia" w:ascii="宋体" w:hAnsi="宋体" w:eastAsia="宋体" w:cs="宋体"/>
          <w:color w:val="auto"/>
          <w:sz w:val="24"/>
          <w:szCs w:val="24"/>
          <w:highlight w:val="none"/>
          <w:u w:val="single"/>
        </w:rPr>
        <w:t xml:space="preserve"> 元  </w:t>
      </w:r>
      <w:r>
        <w:rPr>
          <w:rFonts w:hint="eastAsia" w:ascii="宋体" w:hAnsi="宋体" w:eastAsia="宋体" w:cs="宋体"/>
          <w:color w:val="auto"/>
          <w:sz w:val="24"/>
          <w:szCs w:val="24"/>
          <w:highlight w:val="none"/>
        </w:rPr>
        <w:t xml:space="preserve">  </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712"/>
        <w:gridCol w:w="1514"/>
        <w:gridCol w:w="1054"/>
        <w:gridCol w:w="1246"/>
        <w:gridCol w:w="124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6"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68" w:type="pct"/>
            <w:tcBorders>
              <w:left w:val="single" w:color="auto" w:sz="4" w:space="0"/>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品牌或规格或型号</w:t>
            </w: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分项单价</w:t>
            </w: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gridSpan w:val="7"/>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投标总价 大写：       （小写￥：       ） </w:t>
            </w:r>
          </w:p>
        </w:tc>
      </w:tr>
    </w:tbl>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投标总价与开标一览表及投标函一致</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1、采购清单全费用报价表中所填入的单价和合价，均包括人工费、材料费、运输费、管理费、利润、税金以及采用固定价格的项目所测算的风险金等实际现场完成本项目的全部费用。</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2.采购清单全费用报价表中的每一项均应填写单价和合价，对没有填写单价和合价的项目费用，视为已包括在采购清单的其他单价和合价之中。</w:t>
      </w:r>
    </w:p>
    <w:p>
      <w:pPr>
        <w:spacing w:line="4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u w:val="single"/>
        </w:rPr>
        <w:t xml:space="preserve">   （加盖供应商公章）                      </w:t>
      </w:r>
    </w:p>
    <w:p>
      <w:pPr>
        <w:adjustRightInd w:val="0"/>
        <w:snapToGrid w:val="0"/>
        <w:spacing w:line="400" w:lineRule="exact"/>
        <w:ind w:firstLine="240" w:firstLineChars="100"/>
        <w:rPr>
          <w:rFonts w:hint="eastAsia" w:ascii="宋体" w:hAnsi="宋体" w:eastAsia="宋体" w:cs="宋体"/>
          <w:color w:val="auto"/>
          <w:kern w:val="0"/>
          <w:sz w:val="24"/>
          <w:szCs w:val="24"/>
          <w:highlight w:val="none"/>
        </w:rPr>
      </w:pPr>
      <w:bookmarkStart w:id="288" w:name="_Toc382508399"/>
      <w:bookmarkEnd w:id="288"/>
      <w:bookmarkStart w:id="289" w:name="_Toc382508395"/>
      <w:bookmarkEnd w:id="289"/>
      <w:bookmarkStart w:id="290" w:name="_Toc382508396"/>
      <w:bookmarkEnd w:id="290"/>
      <w:r>
        <w:rPr>
          <w:rFonts w:hint="eastAsia" w:ascii="宋体" w:hAnsi="宋体" w:eastAsia="宋体" w:cs="宋体"/>
          <w:color w:val="auto"/>
          <w:sz w:val="24"/>
          <w:szCs w:val="24"/>
          <w:highlight w:val="none"/>
        </w:rPr>
        <w:t>法定代表人（单位负责人）或委托代理人（签字或盖章）：</w:t>
      </w:r>
      <w:r>
        <w:rPr>
          <w:rFonts w:hint="eastAsia" w:ascii="宋体" w:hAnsi="宋体" w:eastAsia="宋体" w:cs="宋体"/>
          <w:color w:val="auto"/>
          <w:sz w:val="24"/>
          <w:szCs w:val="24"/>
          <w:highlight w:val="none"/>
          <w:u w:val="single"/>
        </w:rPr>
        <w:t xml:space="preserve">                   </w:t>
      </w:r>
    </w:p>
    <w:p>
      <w:pPr>
        <w:spacing w:line="400" w:lineRule="exact"/>
        <w:ind w:firstLine="240" w:firstLineChars="1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日  期：</w:t>
      </w:r>
    </w:p>
    <w:p>
      <w:pPr>
        <w:pStyle w:val="4"/>
        <w:rPr>
          <w:color w:val="auto"/>
          <w:highlight w:val="none"/>
        </w:rPr>
      </w:pPr>
    </w:p>
    <w:p>
      <w:pPr>
        <w:rPr>
          <w:color w:val="auto"/>
          <w:highlight w:val="none"/>
        </w:rPr>
      </w:pPr>
    </w:p>
    <w:p>
      <w:pPr>
        <w:pStyle w:val="27"/>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spacing w:line="440" w:lineRule="exact"/>
        <w:outlineLvl w:val="9"/>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pPr>
        <w:spacing w:line="4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致：xxxxx                                 </w:t>
      </w:r>
    </w:p>
    <w:p>
      <w:pPr>
        <w:spacing w:line="400" w:lineRule="exact"/>
        <w:ind w:right="31"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谈判响应文件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pPr>
        <w:spacing w:before="12" w:line="400" w:lineRule="exact"/>
        <w:ind w:left="556" w:right="5491" w:hanging="14"/>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法定代表人（单位负责人）：（签字或盖章）：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供应商名称（公章）：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pPr>
        <w:pStyle w:val="6"/>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授权委托人联系方式：</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附：委托代理人身份证正反面复印件或扫描件</w:t>
      </w:r>
    </w:p>
    <w:p>
      <w:pPr>
        <w:spacing w:line="460" w:lineRule="exact"/>
        <w:outlineLvl w:val="9"/>
        <w:rPr>
          <w:rFonts w:hint="eastAsia" w:ascii="宋体" w:hAnsi="宋体" w:eastAsia="宋体" w:cs="宋体"/>
          <w:color w:val="auto"/>
          <w:sz w:val="28"/>
          <w:szCs w:val="28"/>
          <w:highlight w:val="none"/>
        </w:rPr>
      </w:pPr>
    </w:p>
    <w:p>
      <w:pPr>
        <w:pStyle w:val="27"/>
        <w:ind w:firstLine="4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spacing w:line="460" w:lineRule="exact"/>
        <w:ind w:firstLine="2249" w:firstLineChars="800"/>
        <w:outlineLvl w:val="9"/>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spacing w:line="440" w:lineRule="exact"/>
        <w:ind w:right="48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pPr>
        <w:spacing w:line="44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附：法定代表人（单位负责人）身份证正反面复印件或扫描件</w:t>
      </w:r>
    </w:p>
    <w:p>
      <w:pPr>
        <w:pStyle w:val="6"/>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6"/>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26"/>
        <w:ind w:left="0" w:leftChars="0" w:right="-21" w:firstLine="0" w:firstLineChars="0"/>
        <w:outlineLvl w:val="9"/>
        <w:rPr>
          <w:rFonts w:hint="eastAsia" w:ascii="宋体" w:hAnsi="宋体" w:eastAsia="宋体" w:cs="宋体"/>
          <w:color w:val="auto"/>
          <w:highlight w:val="none"/>
        </w:rPr>
      </w:pPr>
    </w:p>
    <w:p>
      <w:pPr>
        <w:pStyle w:val="26"/>
        <w:ind w:left="0" w:leftChars="0" w:right="-21" w:firstLine="0" w:firstLineChars="0"/>
        <w:outlineLvl w:val="9"/>
        <w:rPr>
          <w:rFonts w:hint="eastAsia" w:ascii="宋体" w:hAnsi="宋体" w:eastAsia="宋体" w:cs="宋体"/>
          <w:color w:val="auto"/>
          <w:highlight w:val="none"/>
        </w:rPr>
      </w:pPr>
    </w:p>
    <w:p>
      <w:pPr>
        <w:pStyle w:val="7"/>
        <w:autoSpaceDE w:val="0"/>
        <w:spacing w:line="32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w:t>
      </w:r>
      <w:r>
        <w:rPr>
          <w:rFonts w:hint="eastAsia" w:ascii="宋体" w:hAnsi="宋体" w:eastAsia="宋体" w:cs="宋体"/>
          <w:b/>
          <w:bCs/>
          <w:color w:val="auto"/>
          <w:sz w:val="28"/>
          <w:szCs w:val="28"/>
          <w:highlight w:val="none"/>
          <w:lang w:val="en-US" w:eastAsia="zh-CN"/>
        </w:rPr>
        <w:t>信誉</w:t>
      </w:r>
      <w:r>
        <w:rPr>
          <w:rFonts w:hint="eastAsia" w:ascii="宋体" w:hAnsi="宋体" w:eastAsia="宋体" w:cs="宋体"/>
          <w:b/>
          <w:bCs/>
          <w:color w:val="auto"/>
          <w:sz w:val="28"/>
          <w:szCs w:val="28"/>
          <w:highlight w:val="none"/>
        </w:rPr>
        <w:t>承诺</w:t>
      </w:r>
    </w:p>
    <w:p>
      <w:pPr>
        <w:pStyle w:val="7"/>
        <w:autoSpaceDE w:val="0"/>
        <w:spacing w:line="32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 xxxxx（采购人）</w:t>
      </w:r>
    </w:p>
    <w:p>
      <w:pPr>
        <w:pStyle w:val="7"/>
        <w:keepNext w:val="0"/>
        <w:keepLines w:val="0"/>
        <w:pageBreakBefore w:val="0"/>
        <w:widowControl w:val="0"/>
        <w:kinsoku/>
        <w:wordWrap/>
        <w:overflowPunct/>
        <w:topLinePunct w:val="0"/>
        <w:bidi w:val="0"/>
        <w:spacing w:before="6" w:after="6"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pPr>
        <w:keepNext w:val="0"/>
        <w:keepLines w:val="0"/>
        <w:pageBreakBefore w:val="0"/>
        <w:widowControl w:val="0"/>
        <w:kinsoku/>
        <w:wordWrap/>
        <w:overflowPunct/>
        <w:topLinePunct w:val="0"/>
        <w:bidi w:val="0"/>
        <w:snapToGrid/>
        <w:spacing w:before="10" w:after="10" w:line="40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1.在投标截止时间前，被最高人民法院在“中国执行信息公开网”网站（http://zxgk.court.gov.cn）列为失信被执行人</w:t>
      </w:r>
      <w:r>
        <w:rPr>
          <w:rFonts w:hint="eastAsia" w:ascii="宋体" w:hAnsi="宋体" w:eastAsia="宋体" w:cs="宋体"/>
          <w:color w:val="auto"/>
          <w:kern w:val="0"/>
          <w:sz w:val="28"/>
          <w:szCs w:val="28"/>
          <w:highlight w:val="none"/>
          <w:lang w:eastAsia="zh-CN"/>
        </w:rPr>
        <w:t>。</w:t>
      </w:r>
    </w:p>
    <w:p>
      <w:pPr>
        <w:keepNext w:val="0"/>
        <w:keepLines w:val="0"/>
        <w:pageBreakBefore w:val="0"/>
        <w:widowControl w:val="0"/>
        <w:kinsoku/>
        <w:wordWrap/>
        <w:overflowPunct/>
        <w:topLinePunct w:val="0"/>
        <w:bidi w:val="0"/>
        <w:snapToGrid/>
        <w:spacing w:before="10" w:after="10" w:line="40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2.在投标截止时间前，被国家市场监督管理部门在国家企业信用信息公示系统（www.gsxt.gov.cn）中列入严重违法失信企业名单。</w:t>
      </w:r>
    </w:p>
    <w:p>
      <w:pPr>
        <w:pStyle w:val="26"/>
        <w:keepNext w:val="0"/>
        <w:keepLines w:val="0"/>
        <w:pageBreakBefore w:val="0"/>
        <w:widowControl w:val="0"/>
        <w:kinsoku/>
        <w:wordWrap/>
        <w:overflowPunct/>
        <w:topLinePunct w:val="0"/>
        <w:bidi w:val="0"/>
        <w:snapToGrid/>
        <w:spacing w:before="10" w:after="10" w:line="400" w:lineRule="exact"/>
        <w:ind w:left="0" w:leftChars="0" w:right="-21" w:firstLine="56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8"/>
          <w:szCs w:val="28"/>
          <w:highlight w:val="none"/>
        </w:rPr>
        <w:t>3.在投标截止时间前，被国家税务总局列入“重大税收违法案件当事人”名单。</w:t>
      </w: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kern w:val="0"/>
          <w:sz w:val="28"/>
          <w:szCs w:val="28"/>
          <w:highlight w:val="none"/>
          <w:lang w:bidi="ar"/>
        </w:rPr>
      </w:pP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法定代表人（单位负责人）或委托代理人（签字或盖章）：</w:t>
      </w:r>
      <w:r>
        <w:rPr>
          <w:rFonts w:hint="eastAsia" w:ascii="宋体" w:hAnsi="宋体" w:eastAsia="宋体" w:cs="宋体"/>
          <w:color w:val="auto"/>
          <w:kern w:val="0"/>
          <w:sz w:val="28"/>
          <w:szCs w:val="28"/>
          <w:highlight w:val="none"/>
          <w:u w:val="single"/>
          <w:lang w:bidi="ar"/>
        </w:rPr>
        <w:t xml:space="preserve">                              </w:t>
      </w: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lang w:bidi="ar"/>
        </w:rPr>
        <w:t>供应商名称（公章）：</w:t>
      </w:r>
      <w:r>
        <w:rPr>
          <w:rFonts w:hint="eastAsia" w:ascii="宋体" w:hAnsi="宋体" w:eastAsia="宋体" w:cs="宋体"/>
          <w:color w:val="auto"/>
          <w:kern w:val="0"/>
          <w:sz w:val="28"/>
          <w:szCs w:val="28"/>
          <w:highlight w:val="none"/>
          <w:u w:val="single"/>
          <w:lang w:bidi="ar"/>
        </w:rPr>
        <w:t xml:space="preserve">                         </w:t>
      </w:r>
    </w:p>
    <w:p>
      <w:pPr>
        <w:keepNext w:val="0"/>
        <w:keepLines w:val="0"/>
        <w:pageBreakBefore w:val="0"/>
        <w:widowControl w:val="0"/>
        <w:tabs>
          <w:tab w:val="left" w:pos="3780"/>
        </w:tabs>
        <w:kinsoku/>
        <w:wordWrap/>
        <w:overflowPunct/>
        <w:topLinePunct w:val="0"/>
        <w:bidi w:val="0"/>
        <w:adjustRightInd w:val="0"/>
        <w:snapToGrid w:val="0"/>
        <w:spacing w:before="6" w:after="6" w:line="360" w:lineRule="exact"/>
        <w:ind w:right="480" w:firstLine="560" w:firstLineChars="200"/>
        <w:textAlignment w:val="auto"/>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pPr>
        <w:pStyle w:val="26"/>
        <w:ind w:left="0" w:leftChars="0" w:right="-21" w:firstLine="0" w:firstLineChars="0"/>
        <w:outlineLvl w:val="9"/>
        <w:rPr>
          <w:rFonts w:hint="eastAsia" w:ascii="宋体" w:hAnsi="宋体" w:eastAsia="宋体" w:cs="宋体"/>
          <w:color w:val="auto"/>
          <w:highlight w:val="none"/>
        </w:rPr>
      </w:pPr>
    </w:p>
    <w:p>
      <w:pPr>
        <w:pStyle w:val="7"/>
        <w:autoSpaceDE w:val="0"/>
        <w:spacing w:line="360" w:lineRule="exact"/>
        <w:outlineLvl w:val="9"/>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格式</w:t>
      </w:r>
      <w:r>
        <w:rPr>
          <w:rFonts w:hint="eastAsia" w:ascii="宋体" w:hAnsi="宋体" w:eastAsia="宋体" w:cs="宋体"/>
          <w:b/>
          <w:color w:val="auto"/>
          <w:sz w:val="28"/>
          <w:szCs w:val="28"/>
          <w:highlight w:val="none"/>
          <w:lang w:val="en-US" w:eastAsia="zh-CN" w:bidi="ar"/>
        </w:rPr>
        <w:t>5</w:t>
      </w:r>
      <w:r>
        <w:rPr>
          <w:rFonts w:hint="eastAsia" w:ascii="宋体" w:hAnsi="宋体" w:eastAsia="宋体" w:cs="宋体"/>
          <w:b/>
          <w:color w:val="auto"/>
          <w:sz w:val="28"/>
          <w:szCs w:val="28"/>
          <w:highlight w:val="none"/>
          <w:lang w:bidi="ar"/>
        </w:rPr>
        <w:t>、资格审查资料</w:t>
      </w:r>
    </w:p>
    <w:p>
      <w:pPr>
        <w:pStyle w:val="7"/>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附：营业执照等评审材料。</w:t>
      </w:r>
    </w:p>
    <w:p>
      <w:pPr>
        <w:outlineLvl w:val="9"/>
        <w:rPr>
          <w:rFonts w:hint="eastAsia" w:ascii="宋体" w:hAnsi="宋体" w:eastAsia="宋体" w:cs="宋体"/>
          <w:color w:val="auto"/>
          <w:highlight w:val="none"/>
        </w:rPr>
      </w:pPr>
    </w:p>
    <w:p>
      <w:pPr>
        <w:pStyle w:val="27"/>
        <w:ind w:firstLine="4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left="0" w:leftChars="0" w:right="-21" w:firstLine="0" w:firstLineChars="0"/>
        <w:outlineLvl w:val="9"/>
        <w:rPr>
          <w:rFonts w:hint="eastAsia" w:ascii="宋体" w:hAnsi="宋体" w:eastAsia="宋体" w:cs="宋体"/>
          <w:color w:val="auto"/>
          <w:highlight w:val="none"/>
        </w:rPr>
      </w:pPr>
    </w:p>
    <w:p>
      <w:pPr>
        <w:jc w:val="center"/>
        <w:outlineLvl w:val="0"/>
        <w:rPr>
          <w:rFonts w:hint="eastAsia" w:ascii="宋体" w:hAnsi="宋体" w:eastAsia="宋体" w:cs="宋体"/>
          <w:b w:val="0"/>
          <w:color w:val="auto"/>
          <w:sz w:val="44"/>
          <w:szCs w:val="44"/>
          <w:highlight w:val="none"/>
        </w:rPr>
      </w:pPr>
      <w:bookmarkStart w:id="291" w:name="_Toc12953"/>
      <w:bookmarkStart w:id="292" w:name="_Toc144887260"/>
      <w:bookmarkStart w:id="293" w:name="_Toc25710"/>
      <w:bookmarkStart w:id="294" w:name="_Toc13060"/>
      <w:bookmarkStart w:id="295" w:name="_Toc14093"/>
      <w:bookmarkStart w:id="296" w:name="_Toc9949"/>
      <w:bookmarkStart w:id="297" w:name="_Toc27216"/>
      <w:bookmarkStart w:id="298" w:name="_Toc3422"/>
      <w:r>
        <w:rPr>
          <w:rFonts w:hint="eastAsia" w:ascii="宋体" w:hAnsi="宋体" w:eastAsia="宋体" w:cs="宋体"/>
          <w:b w:val="0"/>
          <w:color w:val="auto"/>
          <w:sz w:val="44"/>
          <w:szCs w:val="44"/>
          <w:highlight w:val="none"/>
        </w:rPr>
        <w:t>第</w:t>
      </w:r>
      <w:r>
        <w:rPr>
          <w:rFonts w:hint="eastAsia" w:ascii="宋体" w:hAnsi="宋体" w:eastAsia="宋体" w:cs="宋体"/>
          <w:b w:val="0"/>
          <w:color w:val="auto"/>
          <w:sz w:val="44"/>
          <w:szCs w:val="44"/>
          <w:highlight w:val="none"/>
          <w:lang w:val="en-US" w:eastAsia="zh-CN"/>
        </w:rPr>
        <w:t>七</w:t>
      </w:r>
      <w:r>
        <w:rPr>
          <w:rFonts w:hint="eastAsia" w:ascii="宋体" w:hAnsi="宋体" w:eastAsia="宋体" w:cs="宋体"/>
          <w:b w:val="0"/>
          <w:color w:val="auto"/>
          <w:sz w:val="44"/>
          <w:szCs w:val="44"/>
          <w:highlight w:val="none"/>
        </w:rPr>
        <w:t xml:space="preserve">章 </w:t>
      </w:r>
      <w:bookmarkEnd w:id="291"/>
      <w:bookmarkEnd w:id="292"/>
      <w:r>
        <w:rPr>
          <w:rFonts w:hint="eastAsia" w:ascii="宋体" w:hAnsi="宋体" w:eastAsia="宋体" w:cs="宋体"/>
          <w:b w:val="0"/>
          <w:color w:val="auto"/>
          <w:sz w:val="44"/>
          <w:szCs w:val="44"/>
          <w:highlight w:val="none"/>
        </w:rPr>
        <w:t>第二轮报价表</w:t>
      </w:r>
      <w:bookmarkEnd w:id="293"/>
      <w:bookmarkEnd w:id="294"/>
    </w:p>
    <w:p>
      <w:pPr>
        <w:autoSpaceDE w:val="0"/>
        <w:autoSpaceDN w:val="0"/>
        <w:snapToGrid w:val="0"/>
        <w:spacing w:line="500" w:lineRule="exact"/>
        <w:jc w:val="center"/>
        <w:outlineLvl w:val="9"/>
        <w:rPr>
          <w:rFonts w:hint="eastAsia" w:ascii="宋体" w:hAnsi="宋体" w:eastAsia="宋体" w:cs="宋体"/>
          <w:b/>
          <w:bCs/>
          <w:color w:val="auto"/>
          <w:sz w:val="36"/>
          <w:szCs w:val="36"/>
          <w:highlight w:val="none"/>
          <w:lang w:val="en-US" w:eastAsia="zh-CN"/>
        </w:rPr>
      </w:pPr>
    </w:p>
    <w:p>
      <w:pPr>
        <w:autoSpaceDE w:val="0"/>
        <w:autoSpaceDN w:val="0"/>
        <w:snapToGrid w:val="0"/>
        <w:spacing w:line="500" w:lineRule="exact"/>
        <w:jc w:val="center"/>
        <w:outlineLvl w:val="0"/>
        <w:rPr>
          <w:rFonts w:hint="eastAsia" w:ascii="宋体" w:hAnsi="宋体" w:eastAsia="宋体" w:cs="宋体"/>
          <w:b/>
          <w:bCs/>
          <w:color w:val="auto"/>
          <w:sz w:val="36"/>
          <w:szCs w:val="36"/>
          <w:highlight w:val="none"/>
          <w:lang w:val="en-US" w:eastAsia="zh-CN"/>
        </w:rPr>
      </w:pPr>
      <w:bookmarkStart w:id="299" w:name="_Toc14276"/>
      <w:bookmarkStart w:id="300" w:name="_Toc8280"/>
      <w:r>
        <w:rPr>
          <w:rFonts w:hint="eastAsia" w:ascii="宋体" w:hAnsi="宋体" w:eastAsia="宋体" w:cs="宋体"/>
          <w:b/>
          <w:bCs/>
          <w:color w:val="auto"/>
          <w:sz w:val="36"/>
          <w:szCs w:val="36"/>
          <w:highlight w:val="none"/>
          <w:lang w:val="en-US" w:eastAsia="zh-CN"/>
        </w:rPr>
        <w:t>第二轮报价表</w:t>
      </w:r>
      <w:bookmarkEnd w:id="299"/>
      <w:bookmarkEnd w:id="300"/>
    </w:p>
    <w:p>
      <w:pPr>
        <w:pStyle w:val="27"/>
        <w:outlineLvl w:val="9"/>
        <w:rPr>
          <w:rFonts w:hint="eastAsia" w:ascii="宋体" w:hAnsi="宋体" w:eastAsia="宋体" w:cs="宋体"/>
          <w:color w:val="auto"/>
          <w:highlight w:val="none"/>
        </w:rPr>
      </w:pPr>
    </w:p>
    <w:p>
      <w:pPr>
        <w:autoSpaceDE w:val="0"/>
        <w:autoSpaceDN w:val="0"/>
        <w:snapToGrid w:val="0"/>
        <w:spacing w:line="500" w:lineRule="exact"/>
        <w:jc w:val="left"/>
        <w:outlineLvl w:val="0"/>
        <w:rPr>
          <w:rFonts w:hint="eastAsia" w:ascii="宋体" w:hAnsi="宋体" w:eastAsia="宋体" w:cs="宋体"/>
          <w:b w:val="0"/>
          <w:bCs w:val="0"/>
          <w:color w:val="auto"/>
          <w:kern w:val="0"/>
          <w:sz w:val="24"/>
          <w:highlight w:val="none"/>
          <w:lang w:val="zh-CN" w:bidi="zh-CN"/>
        </w:rPr>
      </w:pPr>
      <w:bookmarkStart w:id="301" w:name="_Toc7395"/>
      <w:r>
        <w:rPr>
          <w:rFonts w:hint="eastAsia" w:ascii="宋体" w:hAnsi="宋体" w:eastAsia="宋体" w:cs="宋体"/>
          <w:b/>
          <w:bCs/>
          <w:color w:val="auto"/>
          <w:kern w:val="0"/>
          <w:sz w:val="24"/>
          <w:highlight w:val="none"/>
          <w:lang w:val="zh-CN" w:bidi="zh-CN"/>
        </w:rPr>
        <w:t>项目名称：</w:t>
      </w:r>
      <w:bookmarkEnd w:id="301"/>
      <w:r>
        <w:rPr>
          <w:rFonts w:hint="eastAsia" w:ascii="宋体" w:hAnsi="宋体" w:eastAsia="宋体" w:cs="宋体"/>
          <w:b w:val="0"/>
          <w:bCs w:val="0"/>
          <w:color w:val="auto"/>
          <w:kern w:val="0"/>
          <w:sz w:val="24"/>
          <w:highlight w:val="none"/>
          <w:lang w:val="zh-CN" w:bidi="zh-CN"/>
        </w:rPr>
        <w:t>部分项目部灭火器欠压、过期需采购更新</w:t>
      </w:r>
    </w:p>
    <w:p>
      <w:pPr>
        <w:bidi w:val="0"/>
        <w:outlineLvl w:val="9"/>
        <w:rPr>
          <w:rFonts w:hint="eastAsia" w:ascii="宋体" w:hAnsi="宋体" w:eastAsia="宋体" w:cs="宋体"/>
          <w:color w:val="auto"/>
          <w:highlight w:val="none"/>
          <w:lang w:val="zh-CN"/>
        </w:rPr>
      </w:pPr>
    </w:p>
    <w:tbl>
      <w:tblPr>
        <w:tblStyle w:val="28"/>
        <w:tblW w:w="4995" w:type="pct"/>
        <w:tblInd w:w="0" w:type="dxa"/>
        <w:tblLayout w:type="autofit"/>
        <w:tblCellMar>
          <w:top w:w="0" w:type="dxa"/>
          <w:left w:w="10" w:type="dxa"/>
          <w:bottom w:w="0" w:type="dxa"/>
          <w:right w:w="10" w:type="dxa"/>
        </w:tblCellMar>
      </w:tblPr>
      <w:tblGrid>
        <w:gridCol w:w="2166"/>
        <w:gridCol w:w="7486"/>
      </w:tblGrid>
      <w:tr>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en-US" w:bidi="zh-CN"/>
              </w:rPr>
              <w:t>投标供应商</w:t>
            </w:r>
            <w:r>
              <w:rPr>
                <w:rFonts w:hint="eastAsia" w:ascii="宋体" w:hAnsi="宋体" w:eastAsia="宋体" w:cs="宋体"/>
                <w:b/>
                <w:color w:val="auto"/>
                <w:kern w:val="0"/>
                <w:sz w:val="24"/>
                <w:highlight w:val="none"/>
                <w:lang w:val="zh-CN" w:bidi="zh-CN"/>
              </w:rPr>
              <w:t>名称</w:t>
            </w:r>
          </w:p>
        </w:tc>
        <w:tc>
          <w:tcPr>
            <w:tcW w:w="387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lang w:val="en-US" w:bidi="zh-CN"/>
              </w:rPr>
              <w:t>投标报价</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ind w:firstLine="241" w:firstLineChars="100"/>
              <w:jc w:val="left"/>
              <w:outlineLvl w:val="9"/>
              <w:rPr>
                <w:rFonts w:hint="eastAsia" w:ascii="宋体" w:hAnsi="宋体" w:eastAsia="宋体" w:cs="宋体"/>
                <w:b/>
                <w:color w:val="auto"/>
                <w:kern w:val="0"/>
                <w:sz w:val="24"/>
                <w:highlight w:val="none"/>
                <w:u w:val="none"/>
                <w:lang w:val="en-US" w:bidi="zh-CN"/>
              </w:rPr>
            </w:pPr>
            <w:r>
              <w:rPr>
                <w:rFonts w:hint="eastAsia" w:ascii="宋体" w:hAnsi="宋体" w:eastAsia="宋体" w:cs="宋体"/>
                <w:b/>
                <w:color w:val="auto"/>
                <w:kern w:val="0"/>
                <w:sz w:val="24"/>
                <w:highlight w:val="none"/>
                <w:u w:val="none"/>
                <w:lang w:val="en-US" w:bidi="zh-CN"/>
              </w:rPr>
              <w:t>大写：</w:t>
            </w:r>
            <w:r>
              <w:rPr>
                <w:rFonts w:hint="eastAsia" w:ascii="宋体" w:hAnsi="宋体" w:eastAsia="宋体" w:cs="宋体"/>
                <w:b/>
                <w:color w:val="auto"/>
                <w:kern w:val="0"/>
                <w:sz w:val="24"/>
                <w:highlight w:val="none"/>
                <w:u w:val="single"/>
                <w:lang w:val="en-US" w:bidi="zh-CN"/>
              </w:rPr>
              <w:t xml:space="preserve">      </w:t>
            </w:r>
          </w:p>
          <w:p>
            <w:pPr>
              <w:autoSpaceDE w:val="0"/>
              <w:autoSpaceDN w:val="0"/>
              <w:adjustRightInd w:val="0"/>
              <w:spacing w:line="360" w:lineRule="auto"/>
              <w:ind w:firstLine="241" w:firstLineChars="100"/>
              <w:jc w:val="left"/>
              <w:outlineLvl w:val="9"/>
              <w:rPr>
                <w:rFonts w:hint="default" w:ascii="宋体" w:hAnsi="宋体" w:eastAsia="宋体" w:cs="宋体"/>
                <w:b/>
                <w:color w:val="auto"/>
                <w:kern w:val="0"/>
                <w:sz w:val="24"/>
                <w:highlight w:val="none"/>
                <w:u w:val="none"/>
                <w:lang w:val="en-US" w:bidi="zh-CN"/>
              </w:rPr>
            </w:pPr>
            <w:r>
              <w:rPr>
                <w:rFonts w:hint="eastAsia" w:ascii="宋体" w:hAnsi="宋体" w:eastAsia="宋体" w:cs="宋体"/>
                <w:b/>
                <w:color w:val="auto"/>
                <w:kern w:val="0"/>
                <w:sz w:val="24"/>
                <w:highlight w:val="none"/>
                <w:u w:val="none"/>
                <w:lang w:val="en-US" w:bidi="zh-CN"/>
              </w:rPr>
              <w:t>小写：</w:t>
            </w:r>
            <w:r>
              <w:rPr>
                <w:rFonts w:hint="eastAsia" w:ascii="宋体" w:hAnsi="宋体" w:eastAsia="宋体" w:cs="宋体"/>
                <w:b/>
                <w:color w:val="auto"/>
                <w:kern w:val="0"/>
                <w:sz w:val="24"/>
                <w:highlight w:val="none"/>
                <w:u w:val="single"/>
                <w:lang w:val="en-US" w:bidi="zh-CN"/>
              </w:rPr>
              <w:t xml:space="preserve">      </w:t>
            </w: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widowControl/>
              <w:wordWrap w:val="0"/>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0"/>
                <w:sz w:val="24"/>
                <w:highlight w:val="none"/>
                <w:lang w:val="en-US" w:eastAsia="zh-CN" w:bidi="zh-CN"/>
              </w:rPr>
              <w:t>供货期限</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pStyle w:val="25"/>
              <w:widowControl/>
              <w:wordWrap w:val="0"/>
              <w:spacing w:beforeAutospacing="0" w:afterAutospacing="0" w:line="360" w:lineRule="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p>
        </w:tc>
      </w:tr>
      <w:tr>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bl>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en-US" w:bidi="zh-CN"/>
        </w:rPr>
      </w:pPr>
    </w:p>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zh-CN" w:bidi="zh-CN"/>
        </w:rPr>
      </w:pPr>
      <w:r>
        <w:rPr>
          <w:rFonts w:hint="eastAsia" w:ascii="宋体" w:hAnsi="宋体" w:eastAsia="宋体" w:cs="宋体"/>
          <w:b w:val="0"/>
          <w:bCs w:val="0"/>
          <w:color w:val="auto"/>
          <w:kern w:val="0"/>
          <w:sz w:val="24"/>
          <w:highlight w:val="none"/>
          <w:lang w:val="en-US" w:bidi="zh-CN"/>
        </w:rPr>
        <w:t>投标供应商</w:t>
      </w:r>
      <w:r>
        <w:rPr>
          <w:rFonts w:hint="eastAsia" w:ascii="宋体" w:hAnsi="宋体" w:eastAsia="宋体" w:cs="宋体"/>
          <w:b w:val="0"/>
          <w:bCs w:val="0"/>
          <w:color w:val="auto"/>
          <w:kern w:val="0"/>
          <w:sz w:val="24"/>
          <w:highlight w:val="none"/>
          <w:lang w:val="zh-CN" w:bidi="zh-CN"/>
        </w:rPr>
        <w:t>公章：</w:t>
      </w:r>
    </w:p>
    <w:p>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zh-CN"/>
        </w:rPr>
      </w:pPr>
      <w:r>
        <w:rPr>
          <w:rFonts w:hint="eastAsia" w:ascii="宋体" w:hAnsi="宋体" w:eastAsia="宋体" w:cs="宋体"/>
          <w:color w:val="auto"/>
          <w:kern w:val="0"/>
          <w:sz w:val="24"/>
          <w:highlight w:val="none"/>
          <w:lang w:val="zh-CN" w:bidi="zh-CN"/>
        </w:rPr>
        <w:t>法定代表人或授权委托代理人（签字或盖章）：</w:t>
      </w:r>
    </w:p>
    <w:p>
      <w:pPr>
        <w:autoSpaceDE w:val="0"/>
        <w:autoSpaceDN w:val="0"/>
        <w:adjustRightInd w:val="0"/>
        <w:spacing w:line="360" w:lineRule="auto"/>
        <w:jc w:val="both"/>
        <w:outlineLvl w:val="9"/>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en-US" w:bidi="zh-CN"/>
        </w:rPr>
        <w:t>2024</w:t>
      </w:r>
      <w:r>
        <w:rPr>
          <w:rFonts w:hint="eastAsia" w:ascii="宋体" w:hAnsi="宋体" w:eastAsia="宋体" w:cs="宋体"/>
          <w:color w:val="auto"/>
          <w:kern w:val="0"/>
          <w:sz w:val="24"/>
          <w:highlight w:val="none"/>
          <w:lang w:val="zh-CN" w:bidi="zh-CN"/>
        </w:rPr>
        <w:t>年  月  日</w:t>
      </w: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both"/>
        <w:outlineLvl w:val="9"/>
        <w:rPr>
          <w:rFonts w:ascii="仿宋" w:hAnsi="仿宋" w:eastAsia="仿宋" w:cs="仿宋"/>
          <w:b/>
          <w:bCs/>
          <w:color w:val="auto"/>
          <w:sz w:val="32"/>
          <w:szCs w:val="32"/>
          <w:highlight w:val="none"/>
        </w:rPr>
      </w:pPr>
    </w:p>
    <w:bookmarkEnd w:id="295"/>
    <w:bookmarkEnd w:id="296"/>
    <w:bookmarkEnd w:id="297"/>
    <w:bookmarkEnd w:id="298"/>
    <w:p>
      <w:pPr>
        <w:pStyle w:val="25"/>
        <w:spacing w:beforeAutospacing="0" w:afterAutospacing="0" w:line="360" w:lineRule="exact"/>
        <w:jc w:val="center"/>
        <w:outlineLvl w:val="9"/>
        <w:rPr>
          <w:rFonts w:ascii="仿宋" w:hAnsi="仿宋" w:eastAsia="仿宋" w:cs="仿宋"/>
          <w:b/>
          <w:bCs/>
          <w:color w:val="auto"/>
          <w:sz w:val="32"/>
          <w:szCs w:val="32"/>
          <w:highlight w:val="none"/>
        </w:rPr>
      </w:pPr>
    </w:p>
    <w:sectPr>
      <w:footerReference r:id="rId5" w:type="default"/>
      <w:type w:val="continuous"/>
      <w:pgSz w:w="11910" w:h="16850"/>
      <w:pgMar w:top="1247" w:right="1134" w:bottom="1134" w:left="1134"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9683C-D70B-46D4-8261-CE549D1E3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636D03-E4F6-4635-BDF4-CB8D41255023}"/>
  </w:font>
  <w:font w:name="仿宋_GB2312">
    <w:panose1 w:val="02010609030101010101"/>
    <w:charset w:val="86"/>
    <w:family w:val="modern"/>
    <w:pitch w:val="default"/>
    <w:sig w:usb0="00000001" w:usb1="080E0000" w:usb2="00000000" w:usb3="00000000" w:csb0="00040000" w:csb1="00000000"/>
    <w:embedRegular r:id="rId3" w:fontKey="{AFBA71F7-A701-4787-B77E-28C307F7033D}"/>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D0C5AA6C-F0E4-4405-B5BD-CBE7C51FA98E}"/>
  </w:font>
  <w:font w:name="方正小标宋简体">
    <w:panose1 w:val="03000509000000000000"/>
    <w:charset w:val="86"/>
    <w:family w:val="script"/>
    <w:pitch w:val="default"/>
    <w:sig w:usb0="00000001" w:usb1="080E0000" w:usb2="00000000" w:usb3="00000000" w:csb0="00040000" w:csb1="00000000"/>
    <w:embedRegular r:id="rId5" w:fontKey="{C957E8DB-1410-4AA4-97CC-14228D87E268}"/>
  </w:font>
  <w:font w:name="华文中宋">
    <w:panose1 w:val="02010600040101010101"/>
    <w:charset w:val="86"/>
    <w:family w:val="auto"/>
    <w:pitch w:val="default"/>
    <w:sig w:usb0="00000287" w:usb1="080F0000" w:usb2="00000000" w:usb3="00000000" w:csb0="0004009F" w:csb1="DFD70000"/>
    <w:embedRegular r:id="rId6" w:fontKey="{17E12124-88BC-4210-A976-36DDE79AC3B8}"/>
  </w:font>
  <w:font w:name="仿宋">
    <w:panose1 w:val="02010609060101010101"/>
    <w:charset w:val="86"/>
    <w:family w:val="modern"/>
    <w:pitch w:val="default"/>
    <w:sig w:usb0="800002BF" w:usb1="38CF7CFA" w:usb2="00000016" w:usb3="00000000" w:csb0="00040001" w:csb1="00000000"/>
    <w:embedRegular r:id="rId7" w:fontKey="{26C2641E-E990-40C3-8993-4131234C689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2"/>
      </w:rPr>
    </w:pPr>
    <w:r>
      <w:fldChar w:fldCharType="begin"/>
    </w:r>
    <w:r>
      <w:rPr>
        <w:rStyle w:val="3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A9590"/>
    <w:multiLevelType w:val="singleLevel"/>
    <w:tmpl w:val="A42A9590"/>
    <w:lvl w:ilvl="0" w:tentative="0">
      <w:start w:val="3"/>
      <w:numFmt w:val="chineseCounting"/>
      <w:suff w:val="space"/>
      <w:lvlText w:val="第%1章"/>
      <w:lvlJc w:val="left"/>
      <w:rPr>
        <w:rFonts w:hint="eastAsia"/>
      </w:rPr>
    </w:lvl>
  </w:abstractNum>
  <w:abstractNum w:abstractNumId="1">
    <w:nsid w:val="EB876687"/>
    <w:multiLevelType w:val="singleLevel"/>
    <w:tmpl w:val="EB876687"/>
    <w:lvl w:ilvl="0" w:tentative="0">
      <w:start w:val="2"/>
      <w:numFmt w:val="chineseCounting"/>
      <w:suff w:val="nothing"/>
      <w:lvlText w:val="%1、"/>
      <w:lvlJc w:val="left"/>
      <w:rPr>
        <w:rFonts w:hint="eastAsia"/>
      </w:rPr>
    </w:lvl>
  </w:abstractNum>
  <w:abstractNum w:abstractNumId="2">
    <w:nsid w:val="7DECA404"/>
    <w:multiLevelType w:val="singleLevel"/>
    <w:tmpl w:val="7DECA40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165EF"/>
    <w:rsid w:val="0003011D"/>
    <w:rsid w:val="000441BC"/>
    <w:rsid w:val="00061B59"/>
    <w:rsid w:val="000737EC"/>
    <w:rsid w:val="0009667D"/>
    <w:rsid w:val="000968FA"/>
    <w:rsid w:val="000A6A09"/>
    <w:rsid w:val="000B0661"/>
    <w:rsid w:val="000F2348"/>
    <w:rsid w:val="000F7489"/>
    <w:rsid w:val="0010574A"/>
    <w:rsid w:val="00110EAA"/>
    <w:rsid w:val="00123224"/>
    <w:rsid w:val="00123944"/>
    <w:rsid w:val="00125103"/>
    <w:rsid w:val="00131956"/>
    <w:rsid w:val="00145BD1"/>
    <w:rsid w:val="001651BE"/>
    <w:rsid w:val="0017428C"/>
    <w:rsid w:val="001756E7"/>
    <w:rsid w:val="001757DF"/>
    <w:rsid w:val="00196B20"/>
    <w:rsid w:val="00196C31"/>
    <w:rsid w:val="00196F4C"/>
    <w:rsid w:val="00197886"/>
    <w:rsid w:val="001B596C"/>
    <w:rsid w:val="001B6D98"/>
    <w:rsid w:val="001D5082"/>
    <w:rsid w:val="001E6897"/>
    <w:rsid w:val="001F5440"/>
    <w:rsid w:val="002035FB"/>
    <w:rsid w:val="00222970"/>
    <w:rsid w:val="002332D1"/>
    <w:rsid w:val="00240ADC"/>
    <w:rsid w:val="00246E16"/>
    <w:rsid w:val="002564A6"/>
    <w:rsid w:val="0029399D"/>
    <w:rsid w:val="002B2CBF"/>
    <w:rsid w:val="002C1E3F"/>
    <w:rsid w:val="002C388D"/>
    <w:rsid w:val="002C6756"/>
    <w:rsid w:val="002E5A7B"/>
    <w:rsid w:val="002E7ADD"/>
    <w:rsid w:val="002F1847"/>
    <w:rsid w:val="002F733D"/>
    <w:rsid w:val="0030524C"/>
    <w:rsid w:val="003108B1"/>
    <w:rsid w:val="003112AD"/>
    <w:rsid w:val="00315D66"/>
    <w:rsid w:val="00323776"/>
    <w:rsid w:val="00324101"/>
    <w:rsid w:val="00332FB6"/>
    <w:rsid w:val="00336209"/>
    <w:rsid w:val="003A31AF"/>
    <w:rsid w:val="003A3990"/>
    <w:rsid w:val="003A6EFF"/>
    <w:rsid w:val="003B314D"/>
    <w:rsid w:val="003B733C"/>
    <w:rsid w:val="003F631F"/>
    <w:rsid w:val="0041047D"/>
    <w:rsid w:val="0041309E"/>
    <w:rsid w:val="0042552E"/>
    <w:rsid w:val="00431C35"/>
    <w:rsid w:val="004321ED"/>
    <w:rsid w:val="0044412A"/>
    <w:rsid w:val="004527D3"/>
    <w:rsid w:val="00453866"/>
    <w:rsid w:val="004574BF"/>
    <w:rsid w:val="004655B7"/>
    <w:rsid w:val="00470DDB"/>
    <w:rsid w:val="00497D54"/>
    <w:rsid w:val="004D3F33"/>
    <w:rsid w:val="004D5AAD"/>
    <w:rsid w:val="004F1CA2"/>
    <w:rsid w:val="00501A62"/>
    <w:rsid w:val="00520024"/>
    <w:rsid w:val="00520A37"/>
    <w:rsid w:val="00523CA3"/>
    <w:rsid w:val="0053287A"/>
    <w:rsid w:val="0054736A"/>
    <w:rsid w:val="00550F73"/>
    <w:rsid w:val="00555829"/>
    <w:rsid w:val="00556664"/>
    <w:rsid w:val="0057366B"/>
    <w:rsid w:val="005776FB"/>
    <w:rsid w:val="005A13C1"/>
    <w:rsid w:val="005A1D01"/>
    <w:rsid w:val="005A21F9"/>
    <w:rsid w:val="005A2384"/>
    <w:rsid w:val="005A3DD3"/>
    <w:rsid w:val="005D4871"/>
    <w:rsid w:val="005D6148"/>
    <w:rsid w:val="00600060"/>
    <w:rsid w:val="006065A5"/>
    <w:rsid w:val="00611FE4"/>
    <w:rsid w:val="00620776"/>
    <w:rsid w:val="0062250D"/>
    <w:rsid w:val="00626E58"/>
    <w:rsid w:val="006419C9"/>
    <w:rsid w:val="00646C8B"/>
    <w:rsid w:val="006473D7"/>
    <w:rsid w:val="0065665E"/>
    <w:rsid w:val="006761CB"/>
    <w:rsid w:val="00686818"/>
    <w:rsid w:val="006912DD"/>
    <w:rsid w:val="00693F56"/>
    <w:rsid w:val="00696E58"/>
    <w:rsid w:val="006A096B"/>
    <w:rsid w:val="006A2D80"/>
    <w:rsid w:val="006B5BF4"/>
    <w:rsid w:val="006B7F7A"/>
    <w:rsid w:val="006B7FC4"/>
    <w:rsid w:val="006C443E"/>
    <w:rsid w:val="006C64D3"/>
    <w:rsid w:val="006E025C"/>
    <w:rsid w:val="006E3826"/>
    <w:rsid w:val="006E392B"/>
    <w:rsid w:val="006F6DD3"/>
    <w:rsid w:val="007148EE"/>
    <w:rsid w:val="00716184"/>
    <w:rsid w:val="00741499"/>
    <w:rsid w:val="00741C5E"/>
    <w:rsid w:val="00754475"/>
    <w:rsid w:val="007547BC"/>
    <w:rsid w:val="00763E3A"/>
    <w:rsid w:val="007775B9"/>
    <w:rsid w:val="007834EB"/>
    <w:rsid w:val="00783BD7"/>
    <w:rsid w:val="00785B06"/>
    <w:rsid w:val="007974F3"/>
    <w:rsid w:val="007B2F6E"/>
    <w:rsid w:val="007C5A99"/>
    <w:rsid w:val="007D207E"/>
    <w:rsid w:val="007D4EA3"/>
    <w:rsid w:val="007E33BD"/>
    <w:rsid w:val="007F4C7A"/>
    <w:rsid w:val="00800224"/>
    <w:rsid w:val="00803252"/>
    <w:rsid w:val="008039CB"/>
    <w:rsid w:val="008049EE"/>
    <w:rsid w:val="00806CE0"/>
    <w:rsid w:val="00815C2A"/>
    <w:rsid w:val="00827FDD"/>
    <w:rsid w:val="008535C9"/>
    <w:rsid w:val="00853F5A"/>
    <w:rsid w:val="00855D99"/>
    <w:rsid w:val="008626CD"/>
    <w:rsid w:val="008647A7"/>
    <w:rsid w:val="00867C3A"/>
    <w:rsid w:val="00881D16"/>
    <w:rsid w:val="00894758"/>
    <w:rsid w:val="008A1A6D"/>
    <w:rsid w:val="008A1EC3"/>
    <w:rsid w:val="008A449D"/>
    <w:rsid w:val="008E6D3A"/>
    <w:rsid w:val="008F1DF3"/>
    <w:rsid w:val="009032CC"/>
    <w:rsid w:val="00905ECB"/>
    <w:rsid w:val="0090663F"/>
    <w:rsid w:val="00923458"/>
    <w:rsid w:val="00924FEB"/>
    <w:rsid w:val="00942B39"/>
    <w:rsid w:val="00951F96"/>
    <w:rsid w:val="00953470"/>
    <w:rsid w:val="0095698A"/>
    <w:rsid w:val="00990883"/>
    <w:rsid w:val="00990C60"/>
    <w:rsid w:val="00991227"/>
    <w:rsid w:val="00997F72"/>
    <w:rsid w:val="009A09B2"/>
    <w:rsid w:val="009C0771"/>
    <w:rsid w:val="009D6F10"/>
    <w:rsid w:val="009D7988"/>
    <w:rsid w:val="009E5E77"/>
    <w:rsid w:val="009E6B05"/>
    <w:rsid w:val="00A03B21"/>
    <w:rsid w:val="00A06611"/>
    <w:rsid w:val="00A2587E"/>
    <w:rsid w:val="00A51409"/>
    <w:rsid w:val="00A63F82"/>
    <w:rsid w:val="00A71F37"/>
    <w:rsid w:val="00A970FA"/>
    <w:rsid w:val="00AB58A3"/>
    <w:rsid w:val="00AB76A6"/>
    <w:rsid w:val="00AC6556"/>
    <w:rsid w:val="00AE0BD2"/>
    <w:rsid w:val="00AE1337"/>
    <w:rsid w:val="00AF2A33"/>
    <w:rsid w:val="00AF4BCA"/>
    <w:rsid w:val="00B06D23"/>
    <w:rsid w:val="00B2054C"/>
    <w:rsid w:val="00B3034B"/>
    <w:rsid w:val="00B30354"/>
    <w:rsid w:val="00B33E43"/>
    <w:rsid w:val="00B3445A"/>
    <w:rsid w:val="00B35431"/>
    <w:rsid w:val="00B55518"/>
    <w:rsid w:val="00B731D6"/>
    <w:rsid w:val="00B77025"/>
    <w:rsid w:val="00B779D8"/>
    <w:rsid w:val="00B80BA7"/>
    <w:rsid w:val="00B92ACE"/>
    <w:rsid w:val="00B95E16"/>
    <w:rsid w:val="00B96064"/>
    <w:rsid w:val="00BA1DDE"/>
    <w:rsid w:val="00BA46D1"/>
    <w:rsid w:val="00BD7E7A"/>
    <w:rsid w:val="00BE3C6F"/>
    <w:rsid w:val="00BF59DD"/>
    <w:rsid w:val="00C002C8"/>
    <w:rsid w:val="00C10053"/>
    <w:rsid w:val="00C14394"/>
    <w:rsid w:val="00C25EE1"/>
    <w:rsid w:val="00C32F05"/>
    <w:rsid w:val="00C343C9"/>
    <w:rsid w:val="00C411C2"/>
    <w:rsid w:val="00C419FD"/>
    <w:rsid w:val="00C52D35"/>
    <w:rsid w:val="00C53F50"/>
    <w:rsid w:val="00C55E82"/>
    <w:rsid w:val="00C740BB"/>
    <w:rsid w:val="00C769F6"/>
    <w:rsid w:val="00C91C5E"/>
    <w:rsid w:val="00C91F44"/>
    <w:rsid w:val="00CA10FE"/>
    <w:rsid w:val="00CB30BB"/>
    <w:rsid w:val="00CB442A"/>
    <w:rsid w:val="00CC0FCB"/>
    <w:rsid w:val="00CC44BD"/>
    <w:rsid w:val="00CD3859"/>
    <w:rsid w:val="00CE1F99"/>
    <w:rsid w:val="00D02399"/>
    <w:rsid w:val="00D558C4"/>
    <w:rsid w:val="00D70C30"/>
    <w:rsid w:val="00D823F9"/>
    <w:rsid w:val="00D840C8"/>
    <w:rsid w:val="00D864E1"/>
    <w:rsid w:val="00D87AF7"/>
    <w:rsid w:val="00D94A28"/>
    <w:rsid w:val="00DA23D9"/>
    <w:rsid w:val="00DA2EF2"/>
    <w:rsid w:val="00DC1758"/>
    <w:rsid w:val="00DD1CD3"/>
    <w:rsid w:val="00DD57FD"/>
    <w:rsid w:val="00DD6ACA"/>
    <w:rsid w:val="00DE3043"/>
    <w:rsid w:val="00DE7068"/>
    <w:rsid w:val="00E05CD5"/>
    <w:rsid w:val="00E141D5"/>
    <w:rsid w:val="00E173B7"/>
    <w:rsid w:val="00E20159"/>
    <w:rsid w:val="00E21ABF"/>
    <w:rsid w:val="00E24A65"/>
    <w:rsid w:val="00E33B90"/>
    <w:rsid w:val="00E34394"/>
    <w:rsid w:val="00E3565F"/>
    <w:rsid w:val="00E42FF4"/>
    <w:rsid w:val="00E45CCF"/>
    <w:rsid w:val="00E4647D"/>
    <w:rsid w:val="00E51F21"/>
    <w:rsid w:val="00E5660A"/>
    <w:rsid w:val="00E568E8"/>
    <w:rsid w:val="00E71722"/>
    <w:rsid w:val="00E72057"/>
    <w:rsid w:val="00E827EE"/>
    <w:rsid w:val="00E9001B"/>
    <w:rsid w:val="00E902E7"/>
    <w:rsid w:val="00E90A37"/>
    <w:rsid w:val="00EA3100"/>
    <w:rsid w:val="00EB1A9C"/>
    <w:rsid w:val="00EB1D40"/>
    <w:rsid w:val="00ED2EF6"/>
    <w:rsid w:val="00ED4DD8"/>
    <w:rsid w:val="00EF2956"/>
    <w:rsid w:val="00EF5C0B"/>
    <w:rsid w:val="00F1464F"/>
    <w:rsid w:val="00F35E54"/>
    <w:rsid w:val="00F4052F"/>
    <w:rsid w:val="00F60ECB"/>
    <w:rsid w:val="00F80C03"/>
    <w:rsid w:val="00F82BED"/>
    <w:rsid w:val="00F86720"/>
    <w:rsid w:val="00F97941"/>
    <w:rsid w:val="00FA3634"/>
    <w:rsid w:val="00FB34FF"/>
    <w:rsid w:val="00FC033D"/>
    <w:rsid w:val="00FC0DD3"/>
    <w:rsid w:val="00FC2556"/>
    <w:rsid w:val="00FC2D66"/>
    <w:rsid w:val="00FC2FE2"/>
    <w:rsid w:val="00FD0E74"/>
    <w:rsid w:val="00FE23FB"/>
    <w:rsid w:val="00FF5BE1"/>
    <w:rsid w:val="016320EC"/>
    <w:rsid w:val="01B51023"/>
    <w:rsid w:val="023870D5"/>
    <w:rsid w:val="05100A60"/>
    <w:rsid w:val="06334DDB"/>
    <w:rsid w:val="06722168"/>
    <w:rsid w:val="0BF26C44"/>
    <w:rsid w:val="0C056389"/>
    <w:rsid w:val="0EBB5E05"/>
    <w:rsid w:val="0F92175D"/>
    <w:rsid w:val="0FC5781F"/>
    <w:rsid w:val="12147CCE"/>
    <w:rsid w:val="15067470"/>
    <w:rsid w:val="15CE079A"/>
    <w:rsid w:val="16A56C2E"/>
    <w:rsid w:val="16A61640"/>
    <w:rsid w:val="16AF39B2"/>
    <w:rsid w:val="18F53FF6"/>
    <w:rsid w:val="19805DF3"/>
    <w:rsid w:val="1AF67D46"/>
    <w:rsid w:val="1CAA685C"/>
    <w:rsid w:val="1CB66208"/>
    <w:rsid w:val="1CDB5807"/>
    <w:rsid w:val="1EBA59FE"/>
    <w:rsid w:val="1F2810CD"/>
    <w:rsid w:val="1F833C2E"/>
    <w:rsid w:val="20196340"/>
    <w:rsid w:val="20FA1CCE"/>
    <w:rsid w:val="210E09DE"/>
    <w:rsid w:val="227F2544"/>
    <w:rsid w:val="23AA1AD8"/>
    <w:rsid w:val="23BF0980"/>
    <w:rsid w:val="24311667"/>
    <w:rsid w:val="24B8072F"/>
    <w:rsid w:val="269746AD"/>
    <w:rsid w:val="27EA3E90"/>
    <w:rsid w:val="28523DFA"/>
    <w:rsid w:val="28F57C81"/>
    <w:rsid w:val="2A181417"/>
    <w:rsid w:val="2BE430A7"/>
    <w:rsid w:val="2BFC0FF0"/>
    <w:rsid w:val="2D214A86"/>
    <w:rsid w:val="2D353E02"/>
    <w:rsid w:val="2DD10816"/>
    <w:rsid w:val="2ECA5DDA"/>
    <w:rsid w:val="302E63A0"/>
    <w:rsid w:val="316450AF"/>
    <w:rsid w:val="324101D8"/>
    <w:rsid w:val="32DE5BDB"/>
    <w:rsid w:val="338D73BB"/>
    <w:rsid w:val="339B4EF5"/>
    <w:rsid w:val="34055BC4"/>
    <w:rsid w:val="35546B13"/>
    <w:rsid w:val="356F3B93"/>
    <w:rsid w:val="36326570"/>
    <w:rsid w:val="388859B9"/>
    <w:rsid w:val="38DA3531"/>
    <w:rsid w:val="3A7519D1"/>
    <w:rsid w:val="3CED7B24"/>
    <w:rsid w:val="3D1633EB"/>
    <w:rsid w:val="3D751C0B"/>
    <w:rsid w:val="3FA35E40"/>
    <w:rsid w:val="41276B18"/>
    <w:rsid w:val="41A9211E"/>
    <w:rsid w:val="41F01861"/>
    <w:rsid w:val="44872606"/>
    <w:rsid w:val="46A55021"/>
    <w:rsid w:val="476B4E24"/>
    <w:rsid w:val="487D1CB2"/>
    <w:rsid w:val="49AA63CA"/>
    <w:rsid w:val="4C9702F9"/>
    <w:rsid w:val="4FB5487F"/>
    <w:rsid w:val="4FF640C3"/>
    <w:rsid w:val="500D70DB"/>
    <w:rsid w:val="50B82E88"/>
    <w:rsid w:val="51393908"/>
    <w:rsid w:val="53425375"/>
    <w:rsid w:val="53F215D4"/>
    <w:rsid w:val="56F106CB"/>
    <w:rsid w:val="577613A7"/>
    <w:rsid w:val="578749B4"/>
    <w:rsid w:val="58521B1F"/>
    <w:rsid w:val="59457FDC"/>
    <w:rsid w:val="59570D64"/>
    <w:rsid w:val="5C4828FA"/>
    <w:rsid w:val="5EA87166"/>
    <w:rsid w:val="5F937A23"/>
    <w:rsid w:val="604E3307"/>
    <w:rsid w:val="624B693E"/>
    <w:rsid w:val="62744735"/>
    <w:rsid w:val="62A37788"/>
    <w:rsid w:val="63F12E6C"/>
    <w:rsid w:val="64340620"/>
    <w:rsid w:val="644E4E98"/>
    <w:rsid w:val="672D7029"/>
    <w:rsid w:val="676243A9"/>
    <w:rsid w:val="67D53884"/>
    <w:rsid w:val="6801468C"/>
    <w:rsid w:val="68E6689B"/>
    <w:rsid w:val="6B086362"/>
    <w:rsid w:val="6C6036B1"/>
    <w:rsid w:val="6C69454C"/>
    <w:rsid w:val="6D535020"/>
    <w:rsid w:val="6F397699"/>
    <w:rsid w:val="72A329B6"/>
    <w:rsid w:val="749655E8"/>
    <w:rsid w:val="7512590E"/>
    <w:rsid w:val="75301DA6"/>
    <w:rsid w:val="75846DED"/>
    <w:rsid w:val="76BC4C77"/>
    <w:rsid w:val="79803D7B"/>
    <w:rsid w:val="7D90043A"/>
    <w:rsid w:val="7F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4"/>
    <w:basedOn w:val="1"/>
    <w:next w:val="1"/>
    <w:autoRedefine/>
    <w:unhideWhenUsed/>
    <w:qFormat/>
    <w:uiPriority w:val="9"/>
    <w:pPr>
      <w:keepNext/>
      <w:keepLines/>
      <w:widowControl w:val="0"/>
      <w:spacing w:before="280" w:after="290" w:line="376" w:lineRule="auto"/>
      <w:jc w:val="both"/>
      <w:outlineLvl w:val="3"/>
    </w:pPr>
    <w:rPr>
      <w:rFonts w:ascii="Arial" w:hAnsi="Arial" w:eastAsia="黑体"/>
      <w:b/>
      <w:bCs/>
      <w:kern w:val="2"/>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7">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8">
    <w:name w:val="Body Text Indent"/>
    <w:basedOn w:val="1"/>
    <w:autoRedefine/>
    <w:qFormat/>
    <w:uiPriority w:val="0"/>
    <w:pPr>
      <w:spacing w:after="120"/>
      <w:ind w:left="420" w:leftChars="200"/>
    </w:pPr>
  </w:style>
  <w:style w:type="paragraph" w:styleId="9">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0">
    <w:name w:val="toc 5"/>
    <w:basedOn w:val="1"/>
    <w:next w:val="1"/>
    <w:autoRedefine/>
    <w:unhideWhenUsed/>
    <w:qFormat/>
    <w:uiPriority w:val="39"/>
    <w:pPr>
      <w:ind w:left="1680" w:leftChars="800"/>
    </w:pPr>
    <w:rPr>
      <w:szCs w:val="22"/>
    </w:rPr>
  </w:style>
  <w:style w:type="paragraph" w:styleId="11">
    <w:name w:val="toc 3"/>
    <w:basedOn w:val="1"/>
    <w:next w:val="1"/>
    <w:autoRedefine/>
    <w:unhideWhenUsed/>
    <w:qFormat/>
    <w:uiPriority w:val="39"/>
    <w:pPr>
      <w:ind w:left="840" w:leftChars="400"/>
    </w:pPr>
    <w:rPr>
      <w:szCs w:val="22"/>
    </w:rPr>
  </w:style>
  <w:style w:type="paragraph" w:styleId="12">
    <w:name w:val="Plain Text"/>
    <w:basedOn w:val="1"/>
    <w:autoRedefine/>
    <w:qFormat/>
    <w:uiPriority w:val="0"/>
    <w:rPr>
      <w:rFonts w:ascii="宋体" w:hAnsi="Courier New"/>
    </w:rPr>
  </w:style>
  <w:style w:type="paragraph" w:styleId="13">
    <w:name w:val="toc 8"/>
    <w:basedOn w:val="1"/>
    <w:next w:val="1"/>
    <w:autoRedefine/>
    <w:unhideWhenUsed/>
    <w:qFormat/>
    <w:uiPriority w:val="39"/>
    <w:pPr>
      <w:ind w:left="2940" w:leftChars="1400"/>
    </w:pPr>
    <w:rPr>
      <w:szCs w:val="22"/>
    </w:rPr>
  </w:style>
  <w:style w:type="paragraph" w:styleId="14">
    <w:name w:val="Date"/>
    <w:basedOn w:val="1"/>
    <w:next w:val="1"/>
    <w:autoRedefine/>
    <w:qFormat/>
    <w:uiPriority w:val="0"/>
    <w:pPr>
      <w:ind w:left="100" w:leftChars="2500"/>
    </w:pPr>
    <w:rPr>
      <w:rFonts w:eastAsia="仿宋_GB2312"/>
      <w:sz w:val="32"/>
    </w:rPr>
  </w:style>
  <w:style w:type="paragraph" w:styleId="15">
    <w:name w:val="footer"/>
    <w:basedOn w:val="1"/>
    <w:link w:val="68"/>
    <w:autoRedefine/>
    <w:qFormat/>
    <w:uiPriority w:val="99"/>
    <w:pPr>
      <w:tabs>
        <w:tab w:val="center" w:pos="4153"/>
        <w:tab w:val="right" w:pos="8306"/>
      </w:tabs>
      <w:snapToGrid w:val="0"/>
      <w:jc w:val="left"/>
    </w:pPr>
    <w:rPr>
      <w:sz w:val="18"/>
    </w:rPr>
  </w:style>
  <w:style w:type="paragraph" w:styleId="16">
    <w:name w:val="envelope return"/>
    <w:basedOn w:val="1"/>
    <w:next w:val="8"/>
    <w:autoRedefine/>
    <w:qFormat/>
    <w:uiPriority w:val="0"/>
    <w:pPr>
      <w:snapToGrid w:val="0"/>
    </w:pPr>
    <w:rPr>
      <w:rFonts w:ascii="Arial" w:hAnsi="Arial"/>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19">
    <w:name w:val="toc 4"/>
    <w:basedOn w:val="1"/>
    <w:next w:val="1"/>
    <w:autoRedefine/>
    <w:unhideWhenUsed/>
    <w:qFormat/>
    <w:uiPriority w:val="39"/>
    <w:pPr>
      <w:ind w:left="1260" w:leftChars="600"/>
    </w:pPr>
    <w:rPr>
      <w:szCs w:val="22"/>
    </w:rPr>
  </w:style>
  <w:style w:type="paragraph" w:styleId="20">
    <w:name w:val="Subtitle"/>
    <w:basedOn w:val="1"/>
    <w:next w:val="1"/>
    <w:autoRedefine/>
    <w:qFormat/>
    <w:uiPriority w:val="99"/>
    <w:pPr>
      <w:spacing w:before="240" w:beforeLines="0" w:after="60" w:afterLines="0" w:line="312" w:lineRule="auto"/>
      <w:jc w:val="center"/>
      <w:outlineLvl w:val="1"/>
    </w:pPr>
    <w:rPr>
      <w:rFonts w:ascii="Calibri Light" w:hAnsi="Calibri Light" w:cs="Calibri Light"/>
      <w:b/>
      <w:bCs/>
      <w:kern w:val="28"/>
      <w:sz w:val="32"/>
      <w:szCs w:val="3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autoRedefine/>
    <w:unhideWhenUsed/>
    <w:qFormat/>
    <w:uiPriority w:val="39"/>
    <w:pPr>
      <w:ind w:left="3360" w:leftChars="1600"/>
    </w:pPr>
    <w:rPr>
      <w:szCs w:val="22"/>
    </w:rPr>
  </w:style>
  <w:style w:type="paragraph" w:styleId="25">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7"/>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8"/>
    <w:next w:val="26"/>
    <w:link w:val="69"/>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page number"/>
    <w:autoRedefine/>
    <w:qFormat/>
    <w:uiPriority w:val="99"/>
    <w:rPr>
      <w:rFonts w:cs="Times New Roman"/>
    </w:rPr>
  </w:style>
  <w:style w:type="character" w:styleId="33">
    <w:name w:val="FollowedHyperlink"/>
    <w:basedOn w:val="30"/>
    <w:autoRedefine/>
    <w:qFormat/>
    <w:uiPriority w:val="0"/>
    <w:rPr>
      <w:color w:val="800080"/>
      <w:u w:val="none"/>
    </w:rPr>
  </w:style>
  <w:style w:type="character" w:styleId="34">
    <w:name w:val="Emphasis"/>
    <w:basedOn w:val="30"/>
    <w:autoRedefine/>
    <w:qFormat/>
    <w:uiPriority w:val="0"/>
  </w:style>
  <w:style w:type="character" w:styleId="35">
    <w:name w:val="HTML Definition"/>
    <w:basedOn w:val="30"/>
    <w:autoRedefine/>
    <w:qFormat/>
    <w:uiPriority w:val="0"/>
  </w:style>
  <w:style w:type="character" w:styleId="36">
    <w:name w:val="HTML Typewriter"/>
    <w:basedOn w:val="30"/>
    <w:autoRedefine/>
    <w:qFormat/>
    <w:uiPriority w:val="0"/>
    <w:rPr>
      <w:rFonts w:ascii="monospace" w:hAnsi="monospace" w:eastAsia="monospace" w:cs="monospace"/>
      <w:sz w:val="20"/>
    </w:rPr>
  </w:style>
  <w:style w:type="character" w:styleId="37">
    <w:name w:val="HTML Acronym"/>
    <w:basedOn w:val="30"/>
    <w:autoRedefine/>
    <w:qFormat/>
    <w:uiPriority w:val="0"/>
  </w:style>
  <w:style w:type="character" w:styleId="38">
    <w:name w:val="HTML Variable"/>
    <w:basedOn w:val="30"/>
    <w:autoRedefine/>
    <w:qFormat/>
    <w:uiPriority w:val="0"/>
  </w:style>
  <w:style w:type="character" w:styleId="39">
    <w:name w:val="Hyperlink"/>
    <w:basedOn w:val="30"/>
    <w:autoRedefine/>
    <w:qFormat/>
    <w:uiPriority w:val="99"/>
    <w:rPr>
      <w:color w:val="333333"/>
      <w:u w:val="none"/>
    </w:rPr>
  </w:style>
  <w:style w:type="character" w:styleId="40">
    <w:name w:val="HTML Code"/>
    <w:basedOn w:val="30"/>
    <w:autoRedefine/>
    <w:qFormat/>
    <w:uiPriority w:val="0"/>
    <w:rPr>
      <w:rFonts w:hint="default" w:ascii="monospace" w:hAnsi="monospace" w:eastAsia="monospace" w:cs="monospace"/>
      <w:sz w:val="20"/>
    </w:rPr>
  </w:style>
  <w:style w:type="character" w:styleId="41">
    <w:name w:val="HTML Cite"/>
    <w:basedOn w:val="30"/>
    <w:autoRedefine/>
    <w:qFormat/>
    <w:uiPriority w:val="0"/>
  </w:style>
  <w:style w:type="character" w:styleId="42">
    <w:name w:val="HTML Keyboard"/>
    <w:basedOn w:val="30"/>
    <w:autoRedefine/>
    <w:qFormat/>
    <w:uiPriority w:val="0"/>
    <w:rPr>
      <w:rFonts w:hint="default" w:ascii="monospace" w:hAnsi="monospace" w:eastAsia="monospace" w:cs="monospace"/>
      <w:sz w:val="20"/>
    </w:rPr>
  </w:style>
  <w:style w:type="character" w:styleId="43">
    <w:name w:val="HTML Sample"/>
    <w:basedOn w:val="30"/>
    <w:autoRedefine/>
    <w:qFormat/>
    <w:uiPriority w:val="0"/>
    <w:rPr>
      <w:rFonts w:hint="default" w:ascii="monospace" w:hAnsi="monospace" w:eastAsia="monospace" w:cs="monospace"/>
    </w:rPr>
  </w:style>
  <w:style w:type="paragraph" w:customStyle="1" w:styleId="44">
    <w:name w:val="BodyText"/>
    <w:basedOn w:val="1"/>
    <w:next w:val="45"/>
    <w:autoRedefine/>
    <w:qFormat/>
    <w:uiPriority w:val="0"/>
    <w:pPr>
      <w:spacing w:after="120"/>
      <w:jc w:val="left"/>
      <w:textAlignment w:val="baseline"/>
    </w:pPr>
    <w:rPr>
      <w:rFonts w:ascii="Calibri" w:hAnsi="Calibri"/>
      <w:kern w:val="0"/>
      <w:sz w:val="22"/>
      <w:szCs w:val="22"/>
    </w:rPr>
  </w:style>
  <w:style w:type="paragraph" w:customStyle="1" w:styleId="45">
    <w:name w:val="TOC2"/>
    <w:basedOn w:val="1"/>
    <w:next w:val="1"/>
    <w:autoRedefine/>
    <w:qFormat/>
    <w:uiPriority w:val="0"/>
    <w:pPr>
      <w:ind w:left="210"/>
      <w:jc w:val="left"/>
      <w:textAlignment w:val="baseline"/>
    </w:pPr>
    <w:rPr>
      <w:rFonts w:ascii="Calibri" w:hAnsi="Calibri"/>
      <w:smallCaps/>
      <w:kern w:val="1"/>
      <w:sz w:val="28"/>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47">
    <w:name w:val="标题 1 Char"/>
    <w:link w:val="2"/>
    <w:autoRedefine/>
    <w:qFormat/>
    <w:uiPriority w:val="0"/>
    <w:rPr>
      <w:rFonts w:hint="eastAsia" w:ascii="黑体" w:hAnsi="宋体" w:eastAsia="黑体" w:cs="Times New Roman"/>
      <w:b/>
      <w:kern w:val="0"/>
      <w:sz w:val="32"/>
      <w:szCs w:val="32"/>
    </w:rPr>
  </w:style>
  <w:style w:type="paragraph" w:customStyle="1" w:styleId="48">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9">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0">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1">
    <w:name w:val="xl31"/>
    <w:basedOn w:val="1"/>
    <w:autoRedefine/>
    <w:qFormat/>
    <w:uiPriority w:val="0"/>
    <w:pPr>
      <w:spacing w:before="100" w:beforeAutospacing="1" w:after="100" w:afterAutospacing="1"/>
      <w:jc w:val="center"/>
    </w:pPr>
    <w:rPr>
      <w:b/>
      <w:bCs/>
      <w:kern w:val="0"/>
      <w:sz w:val="28"/>
      <w:szCs w:val="28"/>
    </w:rPr>
  </w:style>
  <w:style w:type="character" w:customStyle="1" w:styleId="52">
    <w:name w:val="UserStyle_0"/>
    <w:link w:val="53"/>
    <w:autoRedefine/>
    <w:qFormat/>
    <w:uiPriority w:val="0"/>
    <w:rPr>
      <w:rFonts w:ascii="Times New Roman" w:hAnsi="Times New Roman" w:cs="Calibri"/>
      <w:b/>
      <w:bCs/>
      <w:kern w:val="44"/>
      <w:sz w:val="30"/>
      <w:szCs w:val="30"/>
      <w:lang w:val="en-US" w:eastAsia="zh-CN" w:bidi="ar-SA"/>
    </w:rPr>
  </w:style>
  <w:style w:type="paragraph" w:customStyle="1" w:styleId="53">
    <w:name w:val="Heading1"/>
    <w:basedOn w:val="1"/>
    <w:next w:val="1"/>
    <w:link w:val="52"/>
    <w:autoRedefine/>
    <w:qFormat/>
    <w:uiPriority w:val="0"/>
    <w:pPr>
      <w:jc w:val="left"/>
      <w:textAlignment w:val="baseline"/>
    </w:pPr>
    <w:rPr>
      <w:rFonts w:ascii="Times New Roman" w:hAnsi="Times New Roman" w:cs="Calibri"/>
      <w:b/>
      <w:bCs/>
      <w:kern w:val="44"/>
      <w:sz w:val="30"/>
      <w:szCs w:val="30"/>
    </w:rPr>
  </w:style>
  <w:style w:type="paragraph" w:customStyle="1" w:styleId="54">
    <w:name w:val="Table Paragraph"/>
    <w:basedOn w:val="1"/>
    <w:autoRedefine/>
    <w:qFormat/>
    <w:uiPriority w:val="0"/>
    <w:pPr>
      <w:jc w:val="left"/>
    </w:pPr>
    <w:rPr>
      <w:rFonts w:ascii="Calibri" w:hAnsi="Calibri" w:eastAsia="Calibri" w:cs="Times New Roman"/>
      <w:kern w:val="0"/>
      <w:sz w:val="22"/>
      <w:szCs w:val="22"/>
    </w:rPr>
  </w:style>
  <w:style w:type="paragraph" w:customStyle="1" w:styleId="55">
    <w:name w:val="正文_1"/>
    <w:basedOn w:val="1"/>
    <w:autoRedefine/>
    <w:qFormat/>
    <w:uiPriority w:val="0"/>
    <w:rPr>
      <w:rFonts w:ascii="Times New Roman" w:hAnsi="Times New Roman" w:eastAsia="宋体" w:cs="Times New Roman"/>
      <w:szCs w:val="20"/>
    </w:rPr>
  </w:style>
  <w:style w:type="paragraph" w:customStyle="1" w:styleId="56">
    <w:name w:val="UserStyle_18"/>
    <w:basedOn w:val="1"/>
    <w:autoRedefine/>
    <w:qFormat/>
    <w:uiPriority w:val="0"/>
    <w:pPr>
      <w:textAlignment w:val="baseline"/>
    </w:pPr>
    <w:rPr>
      <w:rFonts w:ascii="Times New Roman" w:hAnsi="Times New Roman"/>
      <w:szCs w:val="21"/>
    </w:rPr>
  </w:style>
  <w:style w:type="paragraph" w:customStyle="1" w:styleId="57">
    <w:name w:val="BodyText1I"/>
    <w:basedOn w:val="44"/>
    <w:next w:val="1"/>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8">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9">
    <w:name w:val="Body Text First Indent1"/>
    <w:basedOn w:val="7"/>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0">
    <w:name w:val="first-child1"/>
    <w:basedOn w:val="30"/>
    <w:autoRedefine/>
    <w:qFormat/>
    <w:uiPriority w:val="0"/>
  </w:style>
  <w:style w:type="character" w:customStyle="1" w:styleId="61">
    <w:name w:val="first-child2"/>
    <w:basedOn w:val="30"/>
    <w:autoRedefine/>
    <w:qFormat/>
    <w:uiPriority w:val="0"/>
  </w:style>
  <w:style w:type="character" w:customStyle="1" w:styleId="62">
    <w:name w:val="layui-layer-tabnow"/>
    <w:basedOn w:val="30"/>
    <w:autoRedefine/>
    <w:qFormat/>
    <w:uiPriority w:val="0"/>
    <w:rPr>
      <w:bdr w:val="single" w:color="CCCCCC" w:sz="6" w:space="0"/>
      <w:shd w:val="clear" w:color="auto" w:fill="FFFFFF"/>
    </w:rPr>
  </w:style>
  <w:style w:type="paragraph" w:customStyle="1" w:styleId="63">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customStyle="1" w:styleId="64">
    <w:name w:val="BodyText1I2"/>
    <w:basedOn w:val="65"/>
    <w:next w:val="57"/>
    <w:autoRedefine/>
    <w:qFormat/>
    <w:uiPriority w:val="0"/>
    <w:pPr>
      <w:spacing w:before="100" w:beforeAutospacing="1" w:after="100" w:afterAutospacing="1"/>
      <w:ind w:left="200" w:firstLine="200" w:firstLineChars="200"/>
    </w:pPr>
    <w:rPr>
      <w:rFonts w:ascii="Times New Roman" w:hAnsi="Times New Roman" w:cs="Times New Roman"/>
    </w:rPr>
  </w:style>
  <w:style w:type="paragraph" w:customStyle="1" w:styleId="65">
    <w:name w:val="BodyTextIndent"/>
    <w:basedOn w:val="1"/>
    <w:next w:val="66"/>
    <w:autoRedefine/>
    <w:qFormat/>
    <w:uiPriority w:val="0"/>
    <w:pPr>
      <w:ind w:firstLine="645"/>
      <w:textAlignment w:val="baseline"/>
    </w:pPr>
    <w:rPr>
      <w:rFonts w:ascii="楷体_GB2312" w:hAnsi="楷体_GB2312" w:eastAsia="宋体" w:cs="宋体"/>
      <w:sz w:val="32"/>
      <w:szCs w:val="32"/>
    </w:rPr>
  </w:style>
  <w:style w:type="paragraph" w:customStyle="1" w:styleId="66">
    <w:name w:val="EnvelopeReturn"/>
    <w:basedOn w:val="1"/>
    <w:autoRedefine/>
    <w:qFormat/>
    <w:uiPriority w:val="0"/>
    <w:pPr>
      <w:snapToGrid w:val="0"/>
      <w:textAlignment w:val="baseline"/>
    </w:pPr>
    <w:rPr>
      <w:rFonts w:ascii="Arial" w:hAnsi="Arial" w:eastAsia="宋体" w:cs="Arial"/>
    </w:rPr>
  </w:style>
  <w:style w:type="paragraph" w:styleId="67">
    <w:name w:val="List Paragraph"/>
    <w:basedOn w:val="1"/>
    <w:autoRedefine/>
    <w:unhideWhenUsed/>
    <w:qFormat/>
    <w:uiPriority w:val="99"/>
    <w:pPr>
      <w:ind w:firstLine="420" w:firstLineChars="200"/>
    </w:pPr>
  </w:style>
  <w:style w:type="character" w:customStyle="1" w:styleId="68">
    <w:name w:val="页脚 Char"/>
    <w:basedOn w:val="30"/>
    <w:link w:val="15"/>
    <w:autoRedefine/>
    <w:qFormat/>
    <w:uiPriority w:val="99"/>
    <w:rPr>
      <w:rFonts w:asciiTheme="minorHAnsi" w:hAnsiTheme="minorHAnsi" w:eastAsiaTheme="minorEastAsia" w:cstheme="minorBidi"/>
      <w:kern w:val="2"/>
      <w:sz w:val="18"/>
      <w:szCs w:val="24"/>
    </w:rPr>
  </w:style>
  <w:style w:type="character" w:customStyle="1" w:styleId="69">
    <w:name w:val="正文首行缩进 2 Char"/>
    <w:basedOn w:val="30"/>
    <w:link w:val="27"/>
    <w:autoRedefine/>
    <w:qFormat/>
    <w:uiPriority w:val="0"/>
    <w:rPr>
      <w:rFonts w:ascii="Calibri" w:hAnsi="Calibri" w:eastAsia="Calibri"/>
      <w:sz w:val="22"/>
      <w:szCs w:val="22"/>
    </w:rPr>
  </w:style>
  <w:style w:type="paragraph" w:customStyle="1" w:styleId="70">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7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B3612-6239-476A-9C2F-9DC8F870A166}">
  <ds:schemaRefs/>
</ds:datastoreItem>
</file>

<file path=docProps/app.xml><?xml version="1.0" encoding="utf-8"?>
<Properties xmlns="http://schemas.openxmlformats.org/officeDocument/2006/extended-properties" xmlns:vt="http://schemas.openxmlformats.org/officeDocument/2006/docPropsVTypes">
  <Template>0</Template>
  <Company>cz</Company>
  <Pages>20</Pages>
  <Words>6308</Words>
  <Characters>6740</Characters>
  <Lines>243</Lines>
  <Paragraphs>68</Paragraphs>
  <TotalTime>2</TotalTime>
  <ScaleCrop>false</ScaleCrop>
  <LinksUpToDate>false</LinksUpToDate>
  <CharactersWithSpaces>8611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2023-09-04T04:00:00Z</cp:lastPrinted>
  <dcterms:modified xsi:type="dcterms:W3CDTF">2024-05-22T07:02:00Z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FBF4E00371CD4235BDF2D8F2A7DCE9A9_13</vt:lpwstr>
  </property>
</Properties>
</file>