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0F647">
      <w:pPr>
        <w:spacing w:before="156" w:beforeLines="50" w:after="156" w:afterLines="50"/>
        <w:ind w:right="105" w:rightChars="50"/>
        <w:jc w:val="left"/>
        <w:rPr>
          <w:rFonts w:hint="eastAsia" w:cs="宋体" w:asciiTheme="minorEastAsia" w:hAnsiTheme="minorEastAsia"/>
          <w:color w:val="auto"/>
          <w:highlight w:val="none"/>
        </w:rPr>
      </w:pPr>
      <w:bookmarkStart w:id="1308" w:name="_GoBack"/>
      <w:r>
        <w:rPr>
          <w:rFonts w:hint="eastAsia" w:cs="宋体" w:asciiTheme="minorEastAsia" w:hAnsiTheme="minorEastAsia"/>
          <w:b/>
          <w:bCs/>
          <w:color w:val="auto"/>
          <w:sz w:val="28"/>
          <w:szCs w:val="28"/>
          <w:highlight w:val="none"/>
        </w:rPr>
        <w:t>项目编号：</w:t>
      </w:r>
      <w:r>
        <w:rPr>
          <w:rFonts w:hint="eastAsia" w:cs="宋体" w:asciiTheme="minorEastAsia" w:hAnsiTheme="minorEastAsia"/>
          <w:b/>
          <w:bCs/>
          <w:color w:val="auto"/>
          <w:sz w:val="28"/>
          <w:szCs w:val="28"/>
          <w:highlight w:val="none"/>
          <w:lang w:eastAsia="zh-CN"/>
        </w:rPr>
        <w:t>ATZB2024-058</w:t>
      </w:r>
    </w:p>
    <w:p w14:paraId="4C2D1A65">
      <w:pPr>
        <w:spacing w:before="156" w:beforeLines="50" w:after="156" w:afterLines="50"/>
        <w:ind w:right="105" w:rightChars="50"/>
        <w:jc w:val="left"/>
        <w:rPr>
          <w:rFonts w:hint="eastAsia" w:cs="宋体" w:asciiTheme="minorEastAsia" w:hAnsiTheme="minorEastAsia"/>
          <w:color w:val="auto"/>
          <w:highlight w:val="none"/>
        </w:rPr>
      </w:pPr>
    </w:p>
    <w:p w14:paraId="7289FB3E">
      <w:pPr>
        <w:pStyle w:val="25"/>
        <w:wordWrap w:val="0"/>
        <w:spacing w:beforeAutospacing="0" w:afterAutospacing="0" w:line="500" w:lineRule="atLeast"/>
        <w:jc w:val="center"/>
        <w:rPr>
          <w:rFonts w:hint="eastAsia" w:asciiTheme="majorEastAsia" w:hAnsiTheme="majorEastAsia" w:eastAsiaTheme="majorEastAsia" w:cstheme="majorEastAsia"/>
          <w:b w:val="0"/>
          <w:bCs w:val="0"/>
          <w:color w:val="auto"/>
          <w:w w:val="100"/>
          <w:sz w:val="44"/>
          <w:szCs w:val="44"/>
          <w:highlight w:val="none"/>
          <w:lang w:eastAsia="zh-CN"/>
        </w:rPr>
      </w:pPr>
      <w:bookmarkStart w:id="0" w:name="_Toc19687"/>
      <w:bookmarkStart w:id="1" w:name="_Toc27821"/>
      <w:bookmarkStart w:id="2" w:name="_Toc32609"/>
      <w:r>
        <w:rPr>
          <w:rFonts w:hint="eastAsia" w:asciiTheme="majorEastAsia" w:hAnsiTheme="majorEastAsia" w:eastAsiaTheme="majorEastAsia" w:cstheme="majorEastAsia"/>
          <w:b w:val="0"/>
          <w:bCs w:val="0"/>
          <w:color w:val="auto"/>
          <w:w w:val="100"/>
          <w:sz w:val="44"/>
          <w:szCs w:val="44"/>
          <w:highlight w:val="none"/>
          <w:lang w:eastAsia="zh-CN"/>
        </w:rPr>
        <w:t>西城嘉园小区公租房装修改造外墙及屋面防水工程</w:t>
      </w:r>
    </w:p>
    <w:bookmarkEnd w:id="0"/>
    <w:bookmarkEnd w:id="1"/>
    <w:bookmarkEnd w:id="2"/>
    <w:p w14:paraId="3CE64A03">
      <w:pPr>
        <w:bidi w:val="0"/>
        <w:rPr>
          <w:color w:val="auto"/>
          <w:highlight w:val="none"/>
        </w:rPr>
      </w:pPr>
      <w:bookmarkStart w:id="3" w:name="_Toc9791"/>
      <w:bookmarkEnd w:id="3"/>
      <w:bookmarkStart w:id="4" w:name="_Toc143449632"/>
      <w:bookmarkStart w:id="5" w:name="_Toc24436"/>
      <w:bookmarkStart w:id="6" w:name="_Toc22216"/>
      <w:bookmarkStart w:id="7" w:name="_Toc144968943"/>
      <w:bookmarkStart w:id="8" w:name="_Toc143448910"/>
    </w:p>
    <w:p w14:paraId="1FBE382D">
      <w:pPr>
        <w:pStyle w:val="44"/>
        <w:rPr>
          <w:color w:val="auto"/>
          <w:highlight w:val="none"/>
        </w:rPr>
      </w:pPr>
    </w:p>
    <w:p w14:paraId="567B46B8">
      <w:pPr>
        <w:rPr>
          <w:color w:val="auto"/>
          <w:highlight w:val="none"/>
        </w:rPr>
      </w:pPr>
    </w:p>
    <w:p w14:paraId="5A9D72FE">
      <w:pPr>
        <w:rPr>
          <w:color w:val="auto"/>
          <w:highlight w:val="none"/>
        </w:rPr>
      </w:pPr>
    </w:p>
    <w:p w14:paraId="16986F11">
      <w:pPr>
        <w:rPr>
          <w:color w:val="auto"/>
          <w:highlight w:val="none"/>
        </w:rPr>
      </w:pPr>
    </w:p>
    <w:p w14:paraId="4CE3F964">
      <w:pPr>
        <w:pStyle w:val="2"/>
        <w:spacing w:line="360" w:lineRule="auto"/>
        <w:jc w:val="center"/>
        <w:rPr>
          <w:rFonts w:hint="default" w:ascii="Arial Unicode MS" w:eastAsia="Arial Unicode MS" w:cs="宋体"/>
          <w:b/>
          <w:bCs/>
          <w:color w:val="auto"/>
          <w:sz w:val="96"/>
          <w:szCs w:val="96"/>
          <w:highlight w:val="none"/>
        </w:rPr>
      </w:pPr>
      <w:r>
        <w:rPr>
          <w:rFonts w:ascii="Arial Unicode MS" w:eastAsia="Arial Unicode MS" w:cs="宋体"/>
          <w:b/>
          <w:bCs/>
          <w:color w:val="auto"/>
          <w:sz w:val="96"/>
          <w:szCs w:val="96"/>
          <w:highlight w:val="none"/>
        </w:rPr>
        <w:t>竞争性磋商文件</w:t>
      </w:r>
      <w:bookmarkEnd w:id="4"/>
      <w:bookmarkEnd w:id="5"/>
      <w:bookmarkEnd w:id="6"/>
      <w:bookmarkEnd w:id="7"/>
      <w:bookmarkEnd w:id="8"/>
    </w:p>
    <w:p w14:paraId="6F3EE8C6">
      <w:pPr>
        <w:pStyle w:val="2"/>
        <w:spacing w:line="360" w:lineRule="auto"/>
        <w:jc w:val="center"/>
        <w:rPr>
          <w:rFonts w:ascii="Arial Unicode MS" w:eastAsia="Arial Unicode MS" w:cs="宋体"/>
          <w:b w:val="0"/>
          <w:color w:val="auto"/>
          <w:sz w:val="48"/>
          <w:szCs w:val="48"/>
          <w:highlight w:val="none"/>
        </w:rPr>
      </w:pPr>
      <w:bookmarkStart w:id="9" w:name="_Toc143449633"/>
      <w:bookmarkStart w:id="10" w:name="_Toc143448911"/>
      <w:bookmarkStart w:id="11" w:name="_Toc144968944"/>
      <w:r>
        <w:rPr>
          <w:rFonts w:ascii="Arial Unicode MS" w:eastAsia="Arial Unicode MS" w:cs="宋体"/>
          <w:b w:val="0"/>
          <w:color w:val="auto"/>
          <w:sz w:val="48"/>
          <w:szCs w:val="48"/>
          <w:highlight w:val="none"/>
        </w:rPr>
        <w:t>（工程类</w:t>
      </w:r>
      <w:bookmarkEnd w:id="9"/>
      <w:bookmarkEnd w:id="10"/>
      <w:r>
        <w:rPr>
          <w:rFonts w:ascii="Arial Unicode MS" w:eastAsia="Arial Unicode MS" w:cs="宋体"/>
          <w:b w:val="0"/>
          <w:color w:val="auto"/>
          <w:sz w:val="48"/>
          <w:szCs w:val="48"/>
          <w:highlight w:val="none"/>
        </w:rPr>
        <w:t>）</w:t>
      </w:r>
      <w:bookmarkEnd w:id="11"/>
    </w:p>
    <w:p w14:paraId="32FA2D6E">
      <w:pPr>
        <w:rPr>
          <w:rFonts w:hint="default"/>
          <w:color w:val="auto"/>
          <w:highlight w:val="none"/>
        </w:rPr>
      </w:pPr>
    </w:p>
    <w:p w14:paraId="47A1A040">
      <w:pPr>
        <w:jc w:val="center"/>
        <w:rPr>
          <w:rFonts w:ascii="Tahoma" w:hAnsi="Tahoma" w:eastAsia="宋体" w:cs="Tahoma"/>
          <w:b/>
          <w:bCs/>
          <w:color w:val="auto"/>
          <w:sz w:val="84"/>
          <w:szCs w:val="84"/>
          <w:highlight w:val="none"/>
        </w:rPr>
      </w:pPr>
      <w:r>
        <w:rPr>
          <w:rFonts w:hint="eastAsia" w:ascii="Tahoma" w:hAnsi="Tahoma" w:cs="Tahoma"/>
          <w:b/>
          <w:bCs/>
          <w:color w:val="auto"/>
          <w:sz w:val="84"/>
          <w:szCs w:val="84"/>
          <w:highlight w:val="none"/>
          <w:lang w:val="en-US" w:eastAsia="zh-CN"/>
        </w:rPr>
        <w:drawing>
          <wp:inline distT="0" distB="0" distL="114300" distR="114300">
            <wp:extent cx="2458085" cy="2054860"/>
            <wp:effectExtent l="0" t="0" r="18415" b="254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9"/>
                    <a:stretch>
                      <a:fillRect/>
                    </a:stretch>
                  </pic:blipFill>
                  <pic:spPr>
                    <a:xfrm>
                      <a:off x="0" y="0"/>
                      <a:ext cx="2458085" cy="2054860"/>
                    </a:xfrm>
                    <a:prstGeom prst="rect">
                      <a:avLst/>
                    </a:prstGeom>
                  </pic:spPr>
                </pic:pic>
              </a:graphicData>
            </a:graphic>
          </wp:inline>
        </w:drawing>
      </w:r>
    </w:p>
    <w:p w14:paraId="06CA20D6">
      <w:pPr>
        <w:rPr>
          <w:rFonts w:ascii="Tahoma" w:hAnsi="Tahoma" w:eastAsia="宋体" w:cs="Tahoma"/>
          <w:b/>
          <w:bCs/>
          <w:color w:val="auto"/>
          <w:sz w:val="84"/>
          <w:szCs w:val="84"/>
          <w:highlight w:val="none"/>
        </w:rPr>
      </w:pPr>
    </w:p>
    <w:p w14:paraId="1D003D77">
      <w:pPr>
        <w:widowControl/>
        <w:spacing w:line="690" w:lineRule="atLeast"/>
        <w:ind w:firstLine="1905" w:firstLineChars="593"/>
        <w:rPr>
          <w:rFonts w:hint="eastAsia" w:ascii="宋体" w:hAnsi="宋体" w:cs="宋体" w:eastAsiaTheme="minorEastAsia"/>
          <w:b/>
          <w:bCs/>
          <w:color w:val="auto"/>
          <w:kern w:val="0"/>
          <w:sz w:val="32"/>
          <w:szCs w:val="32"/>
          <w:highlight w:val="none"/>
          <w:u w:val="single"/>
          <w:lang w:eastAsia="zh-CN"/>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eastAsia="zh-CN"/>
        </w:rPr>
        <w:t xml:space="preserve">安徽惠群城市物业有限公司 </w:t>
      </w:r>
    </w:p>
    <w:p w14:paraId="08AC8A8B">
      <w:pPr>
        <w:widowControl/>
        <w:spacing w:line="690" w:lineRule="atLeast"/>
        <w:ind w:firstLine="1905" w:firstLineChars="593"/>
        <w:rPr>
          <w:rFonts w:ascii="宋体" w:hAnsi="宋体"/>
          <w:b/>
          <w:bCs/>
          <w:color w:val="auto"/>
          <w:sz w:val="32"/>
          <w:szCs w:val="32"/>
          <w:highlight w:val="none"/>
          <w:u w:val="single"/>
        </w:rPr>
      </w:pPr>
      <w:r>
        <w:rPr>
          <w:rFonts w:hint="eastAsia" w:ascii="宋体" w:hAnsi="宋体"/>
          <w:b/>
          <w:bCs/>
          <w:color w:val="auto"/>
          <w:sz w:val="32"/>
          <w:szCs w:val="32"/>
          <w:highlight w:val="none"/>
        </w:rPr>
        <w:t>采购代理：</w:t>
      </w:r>
      <w:r>
        <w:rPr>
          <w:rFonts w:hint="eastAsia" w:ascii="宋体" w:hAnsi="宋体"/>
          <w:b/>
          <w:bCs/>
          <w:color w:val="auto"/>
          <w:sz w:val="32"/>
          <w:szCs w:val="32"/>
          <w:highlight w:val="none"/>
          <w:u w:val="single"/>
        </w:rPr>
        <w:t>淮南市安泰工程咨询有限公司</w:t>
      </w:r>
    </w:p>
    <w:p w14:paraId="147B7E99">
      <w:pPr>
        <w:widowControl/>
        <w:spacing w:line="690" w:lineRule="atLeast"/>
        <w:ind w:firstLine="1905" w:firstLineChars="593"/>
        <w:rPr>
          <w:rFonts w:ascii="宋体" w:hAnsi="宋体"/>
          <w:b/>
          <w:bCs/>
          <w:color w:val="auto"/>
          <w:sz w:val="32"/>
          <w:szCs w:val="32"/>
          <w:highlight w:val="none"/>
          <w:u w:val="single"/>
        </w:rPr>
      </w:pPr>
      <w:r>
        <w:rPr>
          <w:rFonts w:hint="eastAsia" w:ascii="宋体" w:hAnsi="宋体"/>
          <w:b/>
          <w:bCs/>
          <w:color w:val="auto"/>
          <w:sz w:val="32"/>
          <w:szCs w:val="32"/>
          <w:highlight w:val="none"/>
        </w:rPr>
        <w:t>日    期：</w:t>
      </w:r>
      <w:r>
        <w:rPr>
          <w:rFonts w:hint="eastAsia" w:ascii="宋体" w:hAnsi="宋体"/>
          <w:b/>
          <w:bCs/>
          <w:color w:val="auto"/>
          <w:sz w:val="32"/>
          <w:szCs w:val="32"/>
          <w:highlight w:val="none"/>
          <w:u w:val="single"/>
        </w:rPr>
        <w:t>2024年</w:t>
      </w:r>
      <w:r>
        <w:rPr>
          <w:rFonts w:hint="eastAsia" w:ascii="宋体" w:hAnsi="宋体"/>
          <w:b/>
          <w:bCs/>
          <w:color w:val="auto"/>
          <w:sz w:val="32"/>
          <w:szCs w:val="32"/>
          <w:highlight w:val="none"/>
          <w:u w:val="single"/>
          <w:lang w:val="en-US" w:eastAsia="zh-CN"/>
        </w:rPr>
        <w:t>12</w:t>
      </w:r>
      <w:r>
        <w:rPr>
          <w:rFonts w:hint="eastAsia" w:ascii="宋体" w:hAnsi="宋体"/>
          <w:b/>
          <w:bCs/>
          <w:color w:val="auto"/>
          <w:sz w:val="32"/>
          <w:szCs w:val="32"/>
          <w:highlight w:val="none"/>
          <w:u w:val="single"/>
        </w:rPr>
        <w:t>月</w:t>
      </w:r>
    </w:p>
    <w:p w14:paraId="11A76086">
      <w:pPr>
        <w:ind w:right="-21" w:firstLine="540"/>
        <w:rPr>
          <w:color w:val="auto"/>
          <w:highlight w:val="none"/>
        </w:rPr>
      </w:pPr>
    </w:p>
    <w:p w14:paraId="2E772A89">
      <w:pPr>
        <w:pStyle w:val="44"/>
        <w:rPr>
          <w:color w:val="auto"/>
          <w:highlight w:val="none"/>
        </w:rPr>
      </w:pPr>
    </w:p>
    <w:p w14:paraId="31B063F4">
      <w:pPr>
        <w:rPr>
          <w:color w:val="auto"/>
          <w:highlight w:val="none"/>
        </w:rPr>
      </w:pPr>
    </w:p>
    <w:p w14:paraId="249097B7">
      <w:pPr>
        <w:pStyle w:val="27"/>
        <w:ind w:firstLine="440"/>
        <w:rPr>
          <w:color w:val="auto"/>
          <w:highlight w:val="none"/>
        </w:rPr>
      </w:pPr>
    </w:p>
    <w:p w14:paraId="2C8E8FB4">
      <w:pPr>
        <w:pStyle w:val="8"/>
        <w:spacing w:line="720" w:lineRule="auto"/>
        <w:jc w:val="center"/>
        <w:rPr>
          <w:rFonts w:ascii="黑体" w:hAnsi="黑体" w:eastAsia="黑体" w:cs="宋体"/>
          <w:b/>
          <w:bCs/>
          <w:color w:val="auto"/>
          <w:sz w:val="44"/>
          <w:szCs w:val="44"/>
          <w:highlight w:val="none"/>
        </w:rPr>
      </w:pPr>
      <w:r>
        <w:rPr>
          <w:rFonts w:hint="eastAsia" w:ascii="黑体" w:hAnsi="黑体" w:eastAsia="黑体" w:cs="宋体"/>
          <w:b/>
          <w:bCs/>
          <w:color w:val="auto"/>
          <w:sz w:val="44"/>
          <w:szCs w:val="44"/>
          <w:highlight w:val="none"/>
        </w:rPr>
        <w:t>目  录</w:t>
      </w:r>
    </w:p>
    <w:p w14:paraId="66789DCB">
      <w:pPr>
        <w:pStyle w:val="19"/>
        <w:tabs>
          <w:tab w:val="right" w:leader="dot" w:pos="10110"/>
        </w:tabs>
        <w:rPr>
          <w:rFonts w:hint="default" w:asciiTheme="minorHAnsi" w:hAnsiTheme="minorHAnsi" w:eastAsiaTheme="minorEastAsia" w:cstheme="minorBidi"/>
          <w:color w:val="auto"/>
          <w:kern w:val="2"/>
          <w:sz w:val="21"/>
          <w:szCs w:val="22"/>
          <w:highlight w:val="none"/>
        </w:rPr>
      </w:pPr>
      <w:r>
        <w:rPr>
          <w:rFonts w:cs="宋体"/>
          <w:b/>
          <w:bCs/>
          <w:color w:val="auto"/>
          <w:highlight w:val="none"/>
        </w:rPr>
        <w:fldChar w:fldCharType="begin"/>
      </w:r>
      <w:r>
        <w:rPr>
          <w:rFonts w:cs="宋体"/>
          <w:b/>
          <w:bCs/>
          <w:color w:val="auto"/>
          <w:highlight w:val="none"/>
        </w:rPr>
        <w:instrText xml:space="preserve">TOC \o "1-1" \h \u </w:instrText>
      </w:r>
      <w:r>
        <w:rPr>
          <w:rFonts w:cs="宋体"/>
          <w:b/>
          <w:bCs/>
          <w:color w:val="auto"/>
          <w:highlight w:val="none"/>
        </w:rPr>
        <w:fldChar w:fldCharType="separate"/>
      </w:r>
      <w:r>
        <w:rPr>
          <w:color w:val="auto"/>
          <w:highlight w:val="none"/>
        </w:rPr>
        <w:fldChar w:fldCharType="begin"/>
      </w:r>
      <w:r>
        <w:rPr>
          <w:color w:val="auto"/>
          <w:highlight w:val="none"/>
        </w:rPr>
        <w:instrText xml:space="preserve"> HYPERLINK \l "_Toc144968945" </w:instrText>
      </w:r>
      <w:r>
        <w:rPr>
          <w:color w:val="auto"/>
          <w:highlight w:val="none"/>
        </w:rPr>
        <w:fldChar w:fldCharType="separate"/>
      </w:r>
      <w:r>
        <w:rPr>
          <w:rStyle w:val="38"/>
          <w:rFonts w:ascii="Arial Unicode MS" w:hAnsi="仿宋" w:eastAsia="Arial Unicode MS" w:cs="仿宋"/>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_Toc144968945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40CCC4B">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"_Toc144968946" </w:instrText>
      </w:r>
      <w:r>
        <w:rPr>
          <w:color w:val="auto"/>
          <w:highlight w:val="none"/>
        </w:rPr>
        <w:fldChar w:fldCharType="separate"/>
      </w:r>
      <w:r>
        <w:rPr>
          <w:rStyle w:val="38"/>
          <w:rFonts w:ascii="Arial Unicode MS" w:hAnsi="仿宋" w:eastAsia="Arial Unicode MS" w:cs="仿宋"/>
          <w:color w:val="auto"/>
          <w:highlight w:val="none"/>
        </w:rPr>
        <w:t>第二章 供应商须知前附表</w:t>
      </w:r>
      <w:r>
        <w:rPr>
          <w:color w:val="auto"/>
          <w:highlight w:val="none"/>
        </w:rPr>
        <w:tab/>
      </w:r>
      <w:r>
        <w:rPr>
          <w:color w:val="auto"/>
          <w:highlight w:val="none"/>
        </w:rPr>
        <w:fldChar w:fldCharType="begin"/>
      </w:r>
      <w:r>
        <w:rPr>
          <w:color w:val="auto"/>
          <w:highlight w:val="none"/>
        </w:rPr>
        <w:instrText xml:space="preserve"> PAGEREF _Toc144968946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1F78DB1">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"_Toc144969060" </w:instrText>
      </w:r>
      <w:r>
        <w:rPr>
          <w:color w:val="auto"/>
          <w:highlight w:val="none"/>
        </w:rPr>
        <w:fldChar w:fldCharType="separate"/>
      </w:r>
      <w:r>
        <w:rPr>
          <w:rStyle w:val="38"/>
          <w:rFonts w:ascii="Arial Unicode MS" w:hAnsi="仿宋" w:eastAsia="Arial Unicode MS" w:cs="仿宋"/>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_Toc144969060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B410A70">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"_Toc144969066" </w:instrText>
      </w:r>
      <w:r>
        <w:rPr>
          <w:color w:val="auto"/>
          <w:highlight w:val="none"/>
        </w:rPr>
        <w:fldChar w:fldCharType="separate"/>
      </w:r>
      <w:r>
        <w:rPr>
          <w:rStyle w:val="38"/>
          <w:rFonts w:ascii="Arial Unicode MS" w:hAnsi="仿宋" w:eastAsia="Arial Unicode MS" w:cs="仿宋"/>
          <w:color w:val="auto"/>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_Toc144969066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1D0069B">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"_Toc144969068" </w:instrText>
      </w:r>
      <w:r>
        <w:rPr>
          <w:color w:val="auto"/>
          <w:highlight w:val="none"/>
        </w:rPr>
        <w:fldChar w:fldCharType="separate"/>
      </w:r>
      <w:r>
        <w:rPr>
          <w:rStyle w:val="38"/>
          <w:rFonts w:ascii="Arial Unicode MS" w:hAnsi="黑体" w:eastAsia="Arial Unicode MS" w:cs="仿宋"/>
          <w:color w:val="auto"/>
          <w:highlight w:val="none"/>
        </w:rPr>
        <w:t>第五章 评审方法和标准</w:t>
      </w:r>
      <w:r>
        <w:rPr>
          <w:color w:val="auto"/>
          <w:highlight w:val="none"/>
        </w:rPr>
        <w:tab/>
      </w:r>
      <w:r>
        <w:rPr>
          <w:color w:val="auto"/>
          <w:highlight w:val="none"/>
        </w:rPr>
        <w:fldChar w:fldCharType="begin"/>
      </w:r>
      <w:r>
        <w:rPr>
          <w:color w:val="auto"/>
          <w:highlight w:val="none"/>
        </w:rPr>
        <w:instrText xml:space="preserve"> PAGEREF _Toc144969068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9C69617">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"_Toc144969122" </w:instrText>
      </w:r>
      <w:r>
        <w:rPr>
          <w:color w:val="auto"/>
          <w:highlight w:val="none"/>
        </w:rPr>
        <w:fldChar w:fldCharType="separate"/>
      </w:r>
      <w:r>
        <w:rPr>
          <w:rStyle w:val="38"/>
          <w:rFonts w:ascii="Arial Unicode MS" w:hAnsi="仿宋" w:eastAsia="Arial Unicode MS" w:cs="仿宋"/>
          <w:color w:val="auto"/>
          <w:highlight w:val="none"/>
        </w:rPr>
        <w:t>第六章  采购合同</w:t>
      </w:r>
      <w:r>
        <w:rPr>
          <w:color w:val="auto"/>
          <w:highlight w:val="none"/>
        </w:rPr>
        <w:tab/>
      </w:r>
      <w:r>
        <w:rPr>
          <w:color w:val="auto"/>
          <w:highlight w:val="none"/>
        </w:rPr>
        <w:fldChar w:fldCharType="begin"/>
      </w:r>
      <w:r>
        <w:rPr>
          <w:color w:val="auto"/>
          <w:highlight w:val="none"/>
        </w:rPr>
        <w:instrText xml:space="preserve"> PAGEREF _Toc144969122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D58DA88">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"_Toc144969124" </w:instrText>
      </w:r>
      <w:r>
        <w:rPr>
          <w:color w:val="auto"/>
          <w:highlight w:val="none"/>
        </w:rPr>
        <w:fldChar w:fldCharType="separate"/>
      </w:r>
      <w:r>
        <w:rPr>
          <w:rStyle w:val="38"/>
          <w:rFonts w:ascii="Arial Unicode MS" w:hAnsi="仿宋" w:eastAsia="Arial Unicode MS" w:cs="仿宋"/>
          <w:color w:val="auto"/>
          <w:highlight w:val="none"/>
        </w:rPr>
        <w:t>第七章 磋商响应文件格式</w:t>
      </w:r>
      <w:r>
        <w:rPr>
          <w:color w:val="auto"/>
          <w:highlight w:val="none"/>
        </w:rPr>
        <w:tab/>
      </w:r>
      <w:r>
        <w:rPr>
          <w:color w:val="auto"/>
          <w:highlight w:val="none"/>
        </w:rPr>
        <w:fldChar w:fldCharType="begin"/>
      </w:r>
      <w:r>
        <w:rPr>
          <w:color w:val="auto"/>
          <w:highlight w:val="none"/>
        </w:rPr>
        <w:instrText xml:space="preserve"> PAGEREF _Toc144969124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18200D3E">
      <w:pPr>
        <w:pStyle w:val="19"/>
        <w:tabs>
          <w:tab w:val="right" w:leader="dot" w:pos="10110"/>
        </w:tabs>
        <w:rPr>
          <w:rStyle w:val="38"/>
          <w:rFonts w:hint="default"/>
          <w:color w:val="auto"/>
          <w:highlight w:val="none"/>
        </w:rPr>
      </w:pPr>
      <w:r>
        <w:rPr>
          <w:color w:val="auto"/>
          <w:highlight w:val="none"/>
        </w:rPr>
        <w:fldChar w:fldCharType="begin"/>
      </w:r>
      <w:r>
        <w:rPr>
          <w:color w:val="auto"/>
          <w:highlight w:val="none"/>
        </w:rPr>
        <w:instrText xml:space="preserve"> HYPERLINK \l "_Toc144969125" </w:instrText>
      </w:r>
      <w:r>
        <w:rPr>
          <w:color w:val="auto"/>
          <w:highlight w:val="none"/>
        </w:rPr>
        <w:fldChar w:fldCharType="separate"/>
      </w:r>
      <w:r>
        <w:rPr>
          <w:rStyle w:val="38"/>
          <w:rFonts w:ascii="Arial Unicode MS" w:hAnsi="仿宋" w:eastAsia="Arial Unicode MS" w:cs="仿宋"/>
          <w:color w:val="auto"/>
          <w:highlight w:val="none"/>
        </w:rPr>
        <w:t>第八章 最终报价或第   次报价表</w:t>
      </w:r>
      <w:r>
        <w:rPr>
          <w:color w:val="auto"/>
          <w:highlight w:val="none"/>
        </w:rPr>
        <w:tab/>
      </w:r>
      <w:r>
        <w:rPr>
          <w:color w:val="auto"/>
          <w:highlight w:val="none"/>
        </w:rPr>
        <w:fldChar w:fldCharType="begin"/>
      </w:r>
      <w:r>
        <w:rPr>
          <w:color w:val="auto"/>
          <w:highlight w:val="none"/>
        </w:rPr>
        <w:instrText xml:space="preserve"> PAGEREF _Toc144969125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EF106BC">
      <w:pPr>
        <w:rPr>
          <w:color w:val="auto"/>
          <w:highlight w:val="none"/>
        </w:rPr>
      </w:pPr>
    </w:p>
    <w:p w14:paraId="670C23AA">
      <w:pPr>
        <w:pStyle w:val="44"/>
        <w:rPr>
          <w:color w:val="auto"/>
          <w:highlight w:val="none"/>
        </w:rPr>
      </w:pPr>
    </w:p>
    <w:p w14:paraId="7FD814F8">
      <w:pPr>
        <w:rPr>
          <w:color w:val="auto"/>
          <w:highlight w:val="none"/>
        </w:rPr>
      </w:pPr>
    </w:p>
    <w:p w14:paraId="0CA8DF23">
      <w:pPr>
        <w:pStyle w:val="44"/>
        <w:rPr>
          <w:color w:val="auto"/>
          <w:highlight w:val="none"/>
        </w:rPr>
      </w:pPr>
    </w:p>
    <w:p w14:paraId="2023E643">
      <w:pPr>
        <w:rPr>
          <w:color w:val="auto"/>
          <w:highlight w:val="none"/>
        </w:rPr>
      </w:pPr>
    </w:p>
    <w:p w14:paraId="12221A70">
      <w:pPr>
        <w:pStyle w:val="44"/>
        <w:rPr>
          <w:color w:val="auto"/>
          <w:highlight w:val="none"/>
        </w:rPr>
      </w:pPr>
    </w:p>
    <w:p w14:paraId="09189C8D">
      <w:pPr>
        <w:rPr>
          <w:color w:val="auto"/>
          <w:highlight w:val="none"/>
        </w:rPr>
      </w:pPr>
    </w:p>
    <w:p w14:paraId="7DDCFDF3">
      <w:pPr>
        <w:pStyle w:val="44"/>
        <w:rPr>
          <w:color w:val="auto"/>
          <w:highlight w:val="none"/>
        </w:rPr>
      </w:pPr>
    </w:p>
    <w:p w14:paraId="07AD0ED9">
      <w:pPr>
        <w:rPr>
          <w:color w:val="auto"/>
          <w:highlight w:val="none"/>
        </w:rPr>
      </w:pPr>
    </w:p>
    <w:p w14:paraId="17EE976E">
      <w:pPr>
        <w:pStyle w:val="44"/>
        <w:rPr>
          <w:color w:val="auto"/>
          <w:highlight w:val="none"/>
        </w:rPr>
      </w:pPr>
    </w:p>
    <w:p w14:paraId="7A5FF6F8">
      <w:pPr>
        <w:rPr>
          <w:color w:val="auto"/>
          <w:highlight w:val="none"/>
        </w:rPr>
      </w:pPr>
    </w:p>
    <w:p w14:paraId="5E2A7386">
      <w:pPr>
        <w:pStyle w:val="44"/>
        <w:rPr>
          <w:color w:val="auto"/>
          <w:highlight w:val="none"/>
        </w:rPr>
      </w:pPr>
    </w:p>
    <w:p w14:paraId="69D9B6C4">
      <w:pPr>
        <w:rPr>
          <w:color w:val="auto"/>
          <w:highlight w:val="none"/>
        </w:rPr>
      </w:pPr>
    </w:p>
    <w:p w14:paraId="5377CF70">
      <w:pPr>
        <w:pStyle w:val="44"/>
        <w:rPr>
          <w:color w:val="auto"/>
          <w:highlight w:val="none"/>
        </w:rPr>
      </w:pPr>
    </w:p>
    <w:p w14:paraId="3E57DFCF">
      <w:pPr>
        <w:rPr>
          <w:color w:val="auto"/>
          <w:highlight w:val="none"/>
        </w:rPr>
      </w:pPr>
    </w:p>
    <w:p w14:paraId="4854081D">
      <w:pPr>
        <w:pStyle w:val="44"/>
        <w:rPr>
          <w:color w:val="auto"/>
          <w:highlight w:val="none"/>
        </w:rPr>
      </w:pPr>
    </w:p>
    <w:p w14:paraId="531C3991">
      <w:pPr>
        <w:rPr>
          <w:color w:val="auto"/>
          <w:highlight w:val="none"/>
        </w:rPr>
      </w:pPr>
    </w:p>
    <w:p w14:paraId="4722F188">
      <w:pPr>
        <w:pStyle w:val="44"/>
        <w:rPr>
          <w:color w:val="auto"/>
          <w:highlight w:val="none"/>
        </w:rPr>
      </w:pPr>
    </w:p>
    <w:p w14:paraId="438B8E94">
      <w:pPr>
        <w:rPr>
          <w:color w:val="auto"/>
          <w:highlight w:val="none"/>
        </w:rPr>
      </w:pPr>
    </w:p>
    <w:p w14:paraId="5E4A39BB">
      <w:pPr>
        <w:pStyle w:val="44"/>
        <w:rPr>
          <w:color w:val="auto"/>
          <w:highlight w:val="none"/>
        </w:rPr>
      </w:pPr>
    </w:p>
    <w:p w14:paraId="12000422">
      <w:pPr>
        <w:rPr>
          <w:color w:val="auto"/>
          <w:highlight w:val="none"/>
        </w:rPr>
      </w:pPr>
    </w:p>
    <w:p w14:paraId="79AE8974">
      <w:pPr>
        <w:pStyle w:val="44"/>
        <w:rPr>
          <w:color w:val="auto"/>
          <w:highlight w:val="none"/>
        </w:rPr>
      </w:pPr>
    </w:p>
    <w:p w14:paraId="2FDF5331">
      <w:pPr>
        <w:rPr>
          <w:color w:val="auto"/>
          <w:highlight w:val="none"/>
        </w:rPr>
      </w:pPr>
    </w:p>
    <w:p w14:paraId="42552C57">
      <w:pPr>
        <w:bidi w:val="0"/>
        <w:rPr>
          <w:color w:val="auto"/>
          <w:highlight w:val="none"/>
        </w:rPr>
      </w:pPr>
      <w:r>
        <w:rPr>
          <w:color w:val="auto"/>
          <w:highlight w:val="none"/>
        </w:rPr>
        <w:fldChar w:fldCharType="end"/>
      </w:r>
    </w:p>
    <w:p w14:paraId="07A1D44F">
      <w:pPr>
        <w:pStyle w:val="45"/>
        <w:numPr>
          <w:ilvl w:val="0"/>
          <w:numId w:val="1"/>
        </w:numPr>
        <w:spacing w:after="0" w:line="360" w:lineRule="auto"/>
        <w:jc w:val="center"/>
        <w:rPr>
          <w:rStyle w:val="43"/>
          <w:rFonts w:hint="default" w:asciiTheme="majorEastAsia" w:hAnsiTheme="majorEastAsia" w:eastAsiaTheme="majorEastAsia" w:cstheme="majorEastAsia"/>
          <w:b/>
          <w:bCs/>
          <w:color w:val="auto"/>
          <w:sz w:val="44"/>
          <w:szCs w:val="44"/>
          <w:highlight w:val="none"/>
        </w:rPr>
        <w:sectPr>
          <w:footerReference r:id="rId3" w:type="default"/>
          <w:pgSz w:w="11907" w:h="16840"/>
          <w:pgMar w:top="1440" w:right="1080" w:bottom="1440" w:left="1080" w:header="851" w:footer="850" w:gutter="0"/>
          <w:pgNumType w:fmt="decimal" w:start="1"/>
          <w:cols w:space="720" w:num="1"/>
          <w:titlePg/>
          <w:docGrid w:linePitch="312" w:charSpace="0"/>
        </w:sectPr>
      </w:pPr>
      <w:bookmarkStart w:id="12" w:name="_Toc144968945"/>
    </w:p>
    <w:p w14:paraId="7F1A152E">
      <w:pPr>
        <w:pStyle w:val="45"/>
        <w:numPr>
          <w:ilvl w:val="0"/>
          <w:numId w:val="1"/>
        </w:numPr>
        <w:spacing w:after="0" w:line="360" w:lineRule="auto"/>
        <w:jc w:val="center"/>
        <w:rPr>
          <w:rStyle w:val="43"/>
          <w:rFonts w:hint="default" w:asciiTheme="majorEastAsia" w:hAnsiTheme="majorEastAsia" w:eastAsiaTheme="majorEastAsia" w:cstheme="majorEastAsia"/>
          <w:b/>
          <w:bCs/>
          <w:color w:val="auto"/>
          <w:sz w:val="44"/>
          <w:szCs w:val="44"/>
          <w:highlight w:val="none"/>
        </w:rPr>
      </w:pPr>
      <w:r>
        <w:rPr>
          <w:rStyle w:val="43"/>
          <w:rFonts w:hint="eastAsia" w:asciiTheme="majorEastAsia" w:hAnsiTheme="majorEastAsia" w:eastAsiaTheme="majorEastAsia" w:cstheme="majorEastAsia"/>
          <w:b/>
          <w:bCs/>
          <w:color w:val="auto"/>
          <w:sz w:val="44"/>
          <w:szCs w:val="44"/>
          <w:highlight w:val="none"/>
        </w:rPr>
        <w:t>竞争性磋商公告</w:t>
      </w:r>
      <w:bookmarkEnd w:id="12"/>
    </w:p>
    <w:p w14:paraId="7BCA4B2F">
      <w:pPr>
        <w:pStyle w:val="25"/>
        <w:adjustRightInd w:val="0"/>
        <w:snapToGrid w:val="0"/>
        <w:spacing w:beforeAutospacing="0" w:afterAutospacing="0" w:line="240" w:lineRule="auto"/>
        <w:contextualSpacing/>
        <w:jc w:val="center"/>
        <w:rPr>
          <w:rFonts w:asciiTheme="minorEastAsia" w:hAnsiTheme="minorEastAsia" w:eastAsiaTheme="minorEastAsia"/>
          <w:b/>
          <w:bCs/>
          <w:color w:val="auto"/>
          <w:kern w:val="2"/>
          <w:sz w:val="36"/>
          <w:szCs w:val="36"/>
          <w:highlight w:val="none"/>
        </w:rPr>
      </w:pPr>
      <w:bookmarkStart w:id="13" w:name="第一章__磋商公告"/>
      <w:bookmarkEnd w:id="13"/>
      <w:bookmarkStart w:id="14" w:name="_bookmark0"/>
      <w:bookmarkEnd w:id="14"/>
      <w:bookmarkStart w:id="15" w:name="_Toc28359011"/>
      <w:bookmarkStart w:id="16" w:name="_Toc35393797"/>
      <w:bookmarkStart w:id="17" w:name="_Toc18025"/>
      <w:r>
        <w:rPr>
          <w:rFonts w:hint="eastAsia" w:asciiTheme="minorEastAsia" w:hAnsiTheme="minorEastAsia" w:eastAsiaTheme="minorEastAsia"/>
          <w:b/>
          <w:bCs/>
          <w:color w:val="auto"/>
          <w:kern w:val="2"/>
          <w:sz w:val="36"/>
          <w:szCs w:val="36"/>
          <w:highlight w:val="none"/>
          <w:lang w:eastAsia="zh-CN"/>
        </w:rPr>
        <w:t>西城嘉园小区公租房装修改造外墙及屋面防水工程</w:t>
      </w:r>
      <w:r>
        <w:rPr>
          <w:rFonts w:hint="eastAsia" w:asciiTheme="minorEastAsia" w:hAnsiTheme="minorEastAsia" w:eastAsiaTheme="minorEastAsia"/>
          <w:b/>
          <w:bCs/>
          <w:color w:val="auto"/>
          <w:kern w:val="2"/>
          <w:sz w:val="36"/>
          <w:szCs w:val="36"/>
          <w:highlight w:val="none"/>
        </w:rPr>
        <w:t>（</w:t>
      </w:r>
      <w:r>
        <w:rPr>
          <w:rFonts w:hint="eastAsia" w:asciiTheme="minorEastAsia" w:hAnsiTheme="minorEastAsia" w:eastAsiaTheme="minorEastAsia"/>
          <w:b/>
          <w:bCs/>
          <w:color w:val="auto"/>
          <w:kern w:val="2"/>
          <w:sz w:val="36"/>
          <w:szCs w:val="36"/>
          <w:highlight w:val="none"/>
          <w:lang w:val="en-US" w:eastAsia="zh-CN"/>
        </w:rPr>
        <w:t>一</w:t>
      </w:r>
      <w:r>
        <w:rPr>
          <w:rFonts w:hint="eastAsia" w:asciiTheme="minorEastAsia" w:hAnsiTheme="minorEastAsia" w:eastAsiaTheme="minorEastAsia"/>
          <w:b/>
          <w:bCs/>
          <w:color w:val="auto"/>
          <w:kern w:val="2"/>
          <w:sz w:val="36"/>
          <w:szCs w:val="36"/>
          <w:highlight w:val="none"/>
        </w:rPr>
        <w:t>次）竞争性磋商公告</w:t>
      </w:r>
    </w:p>
    <w:p w14:paraId="2BE581DC">
      <w:pPr>
        <w:pStyle w:val="25"/>
        <w:adjustRightInd w:val="0"/>
        <w:snapToGrid w:val="0"/>
        <w:spacing w:beforeAutospacing="0" w:afterAutospacing="0"/>
        <w:contextualSpacing/>
        <w:jc w:val="both"/>
        <w:rPr>
          <w:rFonts w:ascii="华文中宋" w:hAnsi="华文中宋" w:eastAsia="华文中宋"/>
          <w:b/>
          <w:bCs/>
          <w:color w:val="auto"/>
          <w:kern w:val="2"/>
          <w:szCs w:val="24"/>
          <w:highlight w:val="none"/>
        </w:rPr>
      </w:pPr>
    </w:p>
    <w:bookmarkEnd w:id="15"/>
    <w:bookmarkEnd w:id="16"/>
    <w:bookmarkEnd w:id="17"/>
    <w:p w14:paraId="340F3E5B">
      <w:pPr>
        <w:pStyle w:val="47"/>
        <w:keepNext w:val="0"/>
        <w:keepLines w:val="0"/>
        <w:pageBreakBefore w:val="0"/>
        <w:kinsoku/>
        <w:wordWrap/>
        <w:overflowPunct/>
        <w:topLinePunct w:val="0"/>
        <w:autoSpaceDE/>
        <w:autoSpaceDN/>
        <w:bidi w:val="0"/>
        <w:adjustRightInd w:val="0"/>
        <w:spacing w:before="95" w:beforeLines="30" w:after="95" w:afterLines="30" w:line="420" w:lineRule="exact"/>
        <w:ind w:right="105" w:rightChars="50" w:firstLine="0" w:firstLineChars="0"/>
        <w:contextualSpacing/>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项目概况</w:t>
      </w:r>
    </w:p>
    <w:p w14:paraId="500E071F">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Style w:val="48"/>
          <w:rFonts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u w:val="single"/>
        </w:rPr>
        <w:t>西城嘉园小区公租房装修改造外墙及屋面防水工程</w:t>
      </w:r>
      <w:r>
        <w:rPr>
          <w:rStyle w:val="48"/>
          <w:rFonts w:hint="eastAsia" w:ascii="仿宋" w:hAnsi="仿宋" w:eastAsia="仿宋" w:cs="仿宋"/>
          <w:color w:val="auto"/>
          <w:sz w:val="28"/>
          <w:szCs w:val="28"/>
          <w:highlight w:val="none"/>
        </w:rPr>
        <w:t>采购项目的潜在供应商应在</w:t>
      </w:r>
      <w:r>
        <w:rPr>
          <w:rStyle w:val="48"/>
          <w:rFonts w:hint="eastAsia" w:ascii="仿宋" w:hAnsi="仿宋" w:eastAsia="仿宋" w:cs="仿宋"/>
          <w:color w:val="auto"/>
          <w:sz w:val="28"/>
          <w:szCs w:val="28"/>
          <w:highlight w:val="none"/>
          <w:u w:val="single"/>
        </w:rPr>
        <w:t>淮南市安泰工程咨询有限公司</w:t>
      </w:r>
      <w:r>
        <w:rPr>
          <w:rStyle w:val="48"/>
          <w:rFonts w:hint="eastAsia" w:ascii="仿宋" w:hAnsi="仿宋" w:eastAsia="仿宋" w:cs="仿宋"/>
          <w:color w:val="auto"/>
          <w:sz w:val="28"/>
          <w:szCs w:val="28"/>
          <w:highlight w:val="none"/>
        </w:rPr>
        <w:t>获取采购文件，并于</w:t>
      </w:r>
      <w:r>
        <w:rPr>
          <w:rStyle w:val="48"/>
          <w:rFonts w:hint="eastAsia" w:ascii="仿宋" w:hAnsi="仿宋" w:eastAsia="仿宋" w:cs="仿宋"/>
          <w:color w:val="auto"/>
          <w:sz w:val="28"/>
          <w:szCs w:val="28"/>
          <w:highlight w:val="none"/>
          <w:u w:val="single"/>
          <w:lang w:val="en-US"/>
        </w:rPr>
        <w:t>2024年12月17日15时30分</w:t>
      </w:r>
      <w:r>
        <w:rPr>
          <w:rStyle w:val="48"/>
          <w:rFonts w:hint="eastAsia" w:ascii="仿宋" w:hAnsi="仿宋" w:eastAsia="仿宋" w:cs="仿宋"/>
          <w:color w:val="auto"/>
          <w:sz w:val="28"/>
          <w:szCs w:val="28"/>
          <w:highlight w:val="none"/>
        </w:rPr>
        <w:t>（北京时间）前提交响应文件。</w:t>
      </w:r>
    </w:p>
    <w:p w14:paraId="25E1CF3C">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3C591B19">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Style w:val="48"/>
          <w:rFonts w:hint="eastAsia" w:ascii="仿宋" w:hAnsi="仿宋" w:eastAsia="仿宋" w:cs="仿宋"/>
          <w:color w:val="auto"/>
          <w:sz w:val="28"/>
          <w:szCs w:val="28"/>
          <w:highlight w:val="none"/>
        </w:rPr>
        <w:t>ATZB2024-058</w:t>
      </w:r>
    </w:p>
    <w:p w14:paraId="52CFA76A">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Style w:val="48"/>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Style w:val="48"/>
          <w:rFonts w:hint="eastAsia" w:ascii="仿宋" w:hAnsi="仿宋" w:eastAsia="仿宋" w:cs="仿宋"/>
          <w:color w:val="auto"/>
          <w:sz w:val="28"/>
          <w:szCs w:val="28"/>
          <w:highlight w:val="none"/>
        </w:rPr>
        <w:t>西城嘉园小区公租房装修改造外墙及屋面防水工程</w:t>
      </w:r>
    </w:p>
    <w:p w14:paraId="65CCA8CF">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采购方式：竞争性磋商</w:t>
      </w:r>
    </w:p>
    <w:p w14:paraId="58150E62">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Style w:val="48"/>
          <w:rFonts w:hint="eastAsia" w:ascii="仿宋" w:hAnsi="仿宋" w:eastAsia="仿宋" w:cs="仿宋"/>
          <w:color w:val="auto"/>
          <w:sz w:val="28"/>
          <w:szCs w:val="28"/>
          <w:highlight w:val="none"/>
        </w:rPr>
        <w:t>2460000</w:t>
      </w:r>
      <w:r>
        <w:rPr>
          <w:rFonts w:hint="eastAsia" w:ascii="仿宋" w:hAnsi="仿宋" w:eastAsia="仿宋" w:cs="仿宋"/>
          <w:color w:val="auto"/>
          <w:sz w:val="28"/>
          <w:szCs w:val="28"/>
          <w:highlight w:val="none"/>
        </w:rPr>
        <w:t>元，</w:t>
      </w:r>
      <w:r>
        <w:rPr>
          <w:rStyle w:val="48"/>
          <w:rFonts w:hint="eastAsia" w:ascii="仿宋" w:hAnsi="仿宋" w:eastAsia="仿宋" w:cs="仿宋"/>
          <w:color w:val="auto"/>
          <w:sz w:val="28"/>
          <w:szCs w:val="28"/>
          <w:highlight w:val="none"/>
          <w:lang w:val="en-US"/>
        </w:rPr>
        <w:t>自筹资金</w:t>
      </w:r>
    </w:p>
    <w:p w14:paraId="46931607">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Style w:val="48"/>
          <w:rFonts w:hint="eastAsia" w:ascii="仿宋" w:hAnsi="仿宋" w:eastAsia="仿宋" w:cs="仿宋"/>
          <w:color w:val="auto"/>
          <w:sz w:val="28"/>
          <w:szCs w:val="28"/>
          <w:highlight w:val="none"/>
          <w:u w:val="none"/>
        </w:rPr>
        <w:t>2460000</w:t>
      </w:r>
      <w:r>
        <w:rPr>
          <w:rFonts w:hint="eastAsia" w:ascii="仿宋" w:hAnsi="仿宋" w:eastAsia="仿宋" w:cs="仿宋"/>
          <w:color w:val="auto"/>
          <w:sz w:val="28"/>
          <w:szCs w:val="28"/>
          <w:highlight w:val="none"/>
        </w:rPr>
        <w:t>元</w:t>
      </w:r>
    </w:p>
    <w:p w14:paraId="6486A0FE">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采购需求：西城嘉园小区公租房装修改造外墙及屋面防水工程</w:t>
      </w:r>
      <w:r>
        <w:rPr>
          <w:rFonts w:hint="eastAsia" w:ascii="仿宋" w:hAnsi="仿宋" w:eastAsia="仿宋" w:cs="仿宋"/>
          <w:b w:val="0"/>
          <w:bCs w:val="0"/>
          <w:color w:val="auto"/>
          <w:sz w:val="28"/>
          <w:szCs w:val="28"/>
          <w:highlight w:val="none"/>
          <w:lang w:val="en-US" w:eastAsia="zh-CN"/>
        </w:rPr>
        <w:t>施工</w:t>
      </w:r>
    </w:p>
    <w:p w14:paraId="40C1280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合同履行期限：</w:t>
      </w:r>
      <w:r>
        <w:rPr>
          <w:rStyle w:val="48"/>
          <w:rFonts w:hint="eastAsia" w:ascii="仿宋" w:hAnsi="仿宋" w:eastAsia="仿宋" w:cs="仿宋"/>
          <w:color w:val="auto"/>
          <w:sz w:val="28"/>
          <w:szCs w:val="28"/>
          <w:highlight w:val="none"/>
          <w:lang w:val="en-US"/>
        </w:rPr>
        <w:t>60日</w:t>
      </w:r>
    </w:p>
    <w:p w14:paraId="24912086">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本项目（是/否）接受联合体：</w:t>
      </w:r>
      <w:r>
        <w:rPr>
          <w:rStyle w:val="48"/>
          <w:rFonts w:hint="eastAsia" w:ascii="仿宋" w:hAnsi="仿宋" w:eastAsia="仿宋" w:cs="仿宋"/>
          <w:color w:val="auto"/>
          <w:sz w:val="28"/>
          <w:szCs w:val="28"/>
          <w:highlight w:val="none"/>
        </w:rPr>
        <w:t>否。</w:t>
      </w:r>
    </w:p>
    <w:p w14:paraId="6381C3F6">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0728BBCC">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443D9C2">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2.落实政府采购政策需满足的资格要求：按照财政部、工业和信息化部制定的《政府采购促进中小企业发展管理办法》，本项目为专门面向中小企业采购项目。</w:t>
      </w:r>
    </w:p>
    <w:p w14:paraId="7393E55C">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6EC51B93">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应具有有效的营业执照，同时应具有建筑工程施工总承包</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级（及以上）资质及有效的安全生产许可证。</w:t>
      </w:r>
    </w:p>
    <w:p w14:paraId="22AAB385">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拟派项目经理应同时具有建筑工程专业二级（及以上）注册建造师执业资格及有效的安全生产考核合格证书。</w:t>
      </w:r>
    </w:p>
    <w:p w14:paraId="772440D7">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Theme="minorEastAsia" w:hAnsiTheme="minorEastAsia" w:cstheme="minorEastAsia"/>
          <w:color w:val="auto"/>
          <w:sz w:val="28"/>
          <w:szCs w:val="28"/>
          <w:highlight w:val="none"/>
        </w:rPr>
      </w:pPr>
      <w:r>
        <w:rPr>
          <w:rFonts w:hint="eastAsia" w:ascii="黑体" w:hAnsi="黑体" w:eastAsia="黑体" w:cs="黑体"/>
          <w:color w:val="auto"/>
          <w:sz w:val="28"/>
          <w:szCs w:val="28"/>
          <w:highlight w:val="none"/>
        </w:rPr>
        <w:t>三、获取采购文件</w:t>
      </w:r>
    </w:p>
    <w:p w14:paraId="53CB8D86">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时间：</w:t>
      </w:r>
      <w:r>
        <w:rPr>
          <w:rFonts w:hint="eastAsia" w:ascii="仿宋" w:hAnsi="仿宋" w:eastAsia="仿宋" w:cs="仿宋"/>
          <w:b w:val="0"/>
          <w:bCs w:val="0"/>
          <w:color w:val="auto"/>
          <w:sz w:val="28"/>
          <w:szCs w:val="28"/>
          <w:highlight w:val="none"/>
          <w:lang w:val="en-US" w:eastAsia="zh-CN"/>
        </w:rPr>
        <w:t>本公告发布之日起至投标截止时间前。</w:t>
      </w:r>
    </w:p>
    <w:p w14:paraId="14E8CE34">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lang w:eastAsia="zh-CN"/>
        </w:rPr>
      </w:pPr>
      <w:r>
        <w:rPr>
          <w:rFonts w:hint="eastAsia" w:ascii="仿宋" w:hAnsi="仿宋" w:eastAsia="仿宋" w:cstheme="minorEastAsia"/>
          <w:color w:val="auto"/>
          <w:sz w:val="28"/>
          <w:szCs w:val="28"/>
          <w:highlight w:val="none"/>
        </w:rPr>
        <w:t>地点：</w:t>
      </w:r>
      <w:r>
        <w:rPr>
          <w:rFonts w:hint="eastAsia" w:ascii="仿宋" w:hAnsi="仿宋" w:eastAsia="仿宋" w:cs="仿宋"/>
          <w:b w:val="0"/>
          <w:bCs w:val="0"/>
          <w:color w:val="auto"/>
          <w:sz w:val="28"/>
          <w:szCs w:val="28"/>
          <w:highlight w:val="none"/>
          <w:lang w:val="en-US" w:eastAsia="zh-CN"/>
        </w:rPr>
        <w:t>网上获取</w:t>
      </w:r>
    </w:p>
    <w:p w14:paraId="3FC7CD53">
      <w:pPr>
        <w:keepNext w:val="0"/>
        <w:keepLines w:val="0"/>
        <w:pageBreakBefore w:val="0"/>
        <w:widowControl w:val="0"/>
        <w:kinsoku/>
        <w:wordWrap w:val="0"/>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方式：通过安徽惠群城市物业有限公司官网（https://www.anhuihuiqun.com/）下载。</w:t>
      </w:r>
    </w:p>
    <w:p w14:paraId="203ADCEA">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售价：0元</w:t>
      </w:r>
    </w:p>
    <w:p w14:paraId="4C0B279F">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四、响应文件提交</w:t>
      </w:r>
    </w:p>
    <w:p w14:paraId="06DACF5B">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eastAsia="仿宋_GB2312" w:hAnsiTheme="minorEastAsia" w:cstheme="minorEastAsia"/>
          <w:color w:val="auto"/>
          <w:sz w:val="28"/>
          <w:szCs w:val="28"/>
          <w:highlight w:val="none"/>
          <w:u w:val="none"/>
        </w:rPr>
      </w:pPr>
      <w:r>
        <w:rPr>
          <w:rFonts w:hint="eastAsia" w:ascii="仿宋_GB2312" w:eastAsia="仿宋_GB2312" w:hAnsiTheme="minorEastAsia" w:cstheme="minorEastAsia"/>
          <w:color w:val="auto"/>
          <w:sz w:val="28"/>
          <w:szCs w:val="28"/>
          <w:highlight w:val="none"/>
          <w:u w:val="none"/>
        </w:rPr>
        <w:t>截止时间：</w:t>
      </w:r>
      <w:r>
        <w:rPr>
          <w:rStyle w:val="48"/>
          <w:rFonts w:hint="eastAsia" w:ascii="仿宋" w:hAnsi="仿宋" w:eastAsia="仿宋" w:cs="仿宋"/>
          <w:color w:val="auto"/>
          <w:sz w:val="28"/>
          <w:szCs w:val="28"/>
          <w:highlight w:val="none"/>
          <w:u w:val="none"/>
          <w:lang w:val="en-US"/>
        </w:rPr>
        <w:t>2024年12月17日15时30分</w:t>
      </w:r>
      <w:r>
        <w:rPr>
          <w:rFonts w:hint="eastAsia" w:ascii="仿宋_GB2312" w:eastAsia="仿宋_GB2312" w:hAnsiTheme="minorEastAsia" w:cstheme="minorEastAsia"/>
          <w:color w:val="auto"/>
          <w:sz w:val="28"/>
          <w:szCs w:val="28"/>
          <w:highlight w:val="none"/>
          <w:u w:val="none"/>
        </w:rPr>
        <w:t>（</w:t>
      </w:r>
      <w:r>
        <w:rPr>
          <w:rFonts w:hint="eastAsia" w:ascii="仿宋_GB2312" w:eastAsia="仿宋_GB2312" w:hAnsiTheme="minorEastAsia" w:cstheme="minorEastAsia"/>
          <w:color w:val="auto"/>
          <w:sz w:val="28"/>
          <w:szCs w:val="28"/>
          <w:highlight w:val="none"/>
          <w:u w:val="none"/>
        </w:rPr>
        <w:t>北京时间）</w:t>
      </w:r>
    </w:p>
    <w:p w14:paraId="4BAEAEC3">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eastAsia="仿宋_GB2312" w:hAnsiTheme="minorEastAsia" w:cstheme="minorEastAsia"/>
          <w:color w:val="auto"/>
          <w:sz w:val="28"/>
          <w:szCs w:val="28"/>
          <w:highlight w:val="none"/>
          <w:u w:val="none"/>
          <w:lang w:eastAsia="zh-CN"/>
        </w:rPr>
      </w:pPr>
      <w:r>
        <w:rPr>
          <w:rFonts w:hint="eastAsia" w:ascii="仿宋_GB2312" w:eastAsia="仿宋_GB2312" w:hAnsiTheme="minorEastAsia" w:cstheme="minorEastAsia"/>
          <w:color w:val="auto"/>
          <w:sz w:val="28"/>
          <w:szCs w:val="28"/>
          <w:highlight w:val="none"/>
          <w:u w:val="none"/>
        </w:rPr>
        <w:t>提交地点：</w:t>
      </w:r>
      <w:r>
        <w:rPr>
          <w:rFonts w:hint="eastAsia" w:ascii="仿宋_GB2312" w:eastAsia="仿宋_GB2312" w:hAnsiTheme="minorEastAsia" w:cstheme="minorEastAsia"/>
          <w:color w:val="auto"/>
          <w:sz w:val="28"/>
          <w:szCs w:val="28"/>
          <w:highlight w:val="none"/>
          <w:u w:val="none"/>
          <w:lang w:eastAsia="zh-CN"/>
        </w:rPr>
        <w:t>淮南市安泰工程咨询有限公司二楼开标室</w:t>
      </w:r>
    </w:p>
    <w:p w14:paraId="4CEF34F4">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五、开启</w:t>
      </w:r>
    </w:p>
    <w:p w14:paraId="43EF7FE7">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rPr>
        <w:t>时间：</w:t>
      </w:r>
      <w:r>
        <w:rPr>
          <w:rStyle w:val="48"/>
          <w:rFonts w:hint="eastAsia" w:ascii="仿宋" w:hAnsi="仿宋" w:eastAsia="仿宋" w:cs="仿宋"/>
          <w:color w:val="auto"/>
          <w:sz w:val="28"/>
          <w:szCs w:val="28"/>
          <w:highlight w:val="none"/>
          <w:u w:val="none"/>
          <w:lang w:val="en-US"/>
        </w:rPr>
        <w:t>2024年12月17日15时30分</w:t>
      </w:r>
      <w:r>
        <w:rPr>
          <w:rFonts w:hint="eastAsia" w:ascii="仿宋_GB2312" w:hAnsi="仿宋" w:eastAsia="仿宋_GB2312" w:cs="仿宋"/>
          <w:color w:val="auto"/>
          <w:sz w:val="28"/>
          <w:szCs w:val="28"/>
          <w:highlight w:val="none"/>
          <w:u w:val="none"/>
        </w:rPr>
        <w:t>（北京时间）</w:t>
      </w:r>
    </w:p>
    <w:p w14:paraId="62D16781">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hAnsi="仿宋" w:eastAsia="仿宋_GB2312" w:cs="仿宋"/>
          <w:color w:val="auto"/>
          <w:sz w:val="28"/>
          <w:szCs w:val="28"/>
          <w:highlight w:val="none"/>
          <w:u w:val="none"/>
          <w:lang w:eastAsia="zh-CN"/>
        </w:rPr>
      </w:pPr>
      <w:r>
        <w:rPr>
          <w:rFonts w:hint="eastAsia" w:ascii="仿宋_GB2312" w:hAnsi="仿宋" w:eastAsia="仿宋_GB2312" w:cs="仿宋"/>
          <w:color w:val="auto"/>
          <w:sz w:val="28"/>
          <w:szCs w:val="28"/>
          <w:highlight w:val="none"/>
          <w:u w:val="none"/>
        </w:rPr>
        <w:t>地点：</w:t>
      </w:r>
      <w:r>
        <w:rPr>
          <w:rFonts w:hint="eastAsia" w:ascii="仿宋_GB2312" w:hAnsi="仿宋" w:eastAsia="仿宋_GB2312" w:cs="仿宋"/>
          <w:color w:val="auto"/>
          <w:sz w:val="28"/>
          <w:szCs w:val="28"/>
          <w:highlight w:val="none"/>
          <w:u w:val="none"/>
          <w:lang w:eastAsia="zh-CN"/>
        </w:rPr>
        <w:t>淮南市安泰工程咨询有限公司二楼开标室</w:t>
      </w:r>
    </w:p>
    <w:p w14:paraId="131C22D5">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六、公告期限</w:t>
      </w:r>
    </w:p>
    <w:p w14:paraId="145DD6E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312202DF">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p>
    <w:p w14:paraId="00B3ADE5">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1.关于本项目的发布、变更、答疑等信息将在安徽惠群城市物业有限公司官网（https://www.anhuihuiqun.com/)网上发布。供应商须随时关注该项目信息动态，如因关注不及时错过信息下载，责任自行承担。</w:t>
      </w:r>
    </w:p>
    <w:p w14:paraId="02B07D20">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2.本项目需要供应商提供二次报价（或多轮报价），各</w:t>
      </w:r>
      <w:r>
        <w:rPr>
          <w:rFonts w:hint="eastAsia" w:ascii="仿宋" w:hAnsi="仿宋" w:eastAsia="仿宋" w:cs="仿宋"/>
          <w:color w:val="auto"/>
          <w:kern w:val="0"/>
          <w:sz w:val="28"/>
          <w:szCs w:val="28"/>
          <w:highlight w:val="none"/>
          <w:lang w:val="en-US" w:eastAsia="zh-CN"/>
        </w:rPr>
        <w:t>投标</w:t>
      </w:r>
      <w:r>
        <w:rPr>
          <w:rFonts w:hint="eastAsia" w:ascii="仿宋" w:hAnsi="仿宋" w:eastAsia="仿宋" w:cs="仿宋"/>
          <w:color w:val="auto"/>
          <w:kern w:val="0"/>
          <w:sz w:val="28"/>
          <w:szCs w:val="28"/>
          <w:highlight w:val="none"/>
        </w:rPr>
        <w:t>供应商须委派一名工作人员持授权委托书前来开标现场。</w:t>
      </w:r>
    </w:p>
    <w:p w14:paraId="3CB7C4A2">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ascii="仿宋" w:hAnsi="仿宋" w:eastAsia="仿宋" w:cs="仿宋"/>
          <w:color w:val="auto"/>
          <w:kern w:val="0"/>
          <w:sz w:val="28"/>
          <w:szCs w:val="28"/>
          <w:highlight w:val="none"/>
          <w:shd w:val="clear" w:color="auto" w:fill="FFFFFF"/>
        </w:rPr>
        <w:t>异议（质疑）联系人</w:t>
      </w:r>
      <w:r>
        <w:rPr>
          <w:rFonts w:hint="eastAsia" w:ascii="仿宋" w:hAnsi="仿宋" w:eastAsia="仿宋" w:cs="仿宋"/>
          <w:color w:val="auto"/>
          <w:kern w:val="0"/>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宋正正</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kern w:val="0"/>
          <w:sz w:val="28"/>
          <w:szCs w:val="28"/>
          <w:highlight w:val="none"/>
          <w:lang w:val="en-US" w:eastAsia="zh-CN"/>
        </w:rPr>
        <w:t>常伟</w:t>
      </w:r>
      <w:r>
        <w:rPr>
          <w:rFonts w:hint="eastAsia" w:ascii="仿宋" w:hAnsi="仿宋" w:eastAsia="仿宋" w:cs="仿宋"/>
          <w:color w:val="auto"/>
          <w:kern w:val="0"/>
          <w:sz w:val="28"/>
          <w:szCs w:val="28"/>
          <w:highlight w:val="none"/>
        </w:rPr>
        <w:t>；</w:t>
      </w:r>
    </w:p>
    <w:p w14:paraId="385B9571">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shd w:val="clear" w:color="auto" w:fill="FFFFFF"/>
        </w:rPr>
        <w:t>异议（质疑）联系方式：</w:t>
      </w:r>
      <w:r>
        <w:rPr>
          <w:rFonts w:hint="eastAsia" w:ascii="仿宋" w:hAnsi="仿宋" w:eastAsia="仿宋" w:cs="仿宋"/>
          <w:color w:val="auto"/>
          <w:sz w:val="28"/>
          <w:szCs w:val="28"/>
          <w:highlight w:val="none"/>
          <w:shd w:val="clear" w:color="auto" w:fill="FFFFFF"/>
          <w:lang w:val="en-US" w:eastAsia="zh-CN"/>
        </w:rPr>
        <w:t>17330647383</w:t>
      </w:r>
      <w:r>
        <w:rPr>
          <w:rFonts w:hint="eastAsia" w:ascii="仿宋" w:hAnsi="仿宋" w:eastAsia="仿宋" w:cs="仿宋"/>
          <w:color w:val="auto"/>
          <w:sz w:val="28"/>
          <w:szCs w:val="28"/>
          <w:highlight w:val="none"/>
          <w:shd w:val="clear" w:color="auto" w:fill="FFFFFF"/>
        </w:rPr>
        <w:t>、15955406260</w:t>
      </w:r>
      <w:r>
        <w:rPr>
          <w:rFonts w:hint="eastAsia" w:ascii="仿宋" w:hAnsi="仿宋" w:eastAsia="仿宋" w:cs="仿宋"/>
          <w:color w:val="auto"/>
          <w:kern w:val="0"/>
          <w:sz w:val="28"/>
          <w:szCs w:val="28"/>
          <w:highlight w:val="none"/>
        </w:rPr>
        <w:t>。</w:t>
      </w:r>
    </w:p>
    <w:p w14:paraId="13B54FEF">
      <w:pPr>
        <w:keepNext w:val="0"/>
        <w:keepLines w:val="0"/>
        <w:pageBreakBefore w:val="0"/>
        <w:widowControl/>
        <w:numPr>
          <w:ilvl w:val="0"/>
          <w:numId w:val="0"/>
        </w:numPr>
        <w:kinsoku/>
        <w:wordWrap/>
        <w:overflowPunct/>
        <w:topLinePunct w:val="0"/>
        <w:autoSpaceDE/>
        <w:autoSpaceDN/>
        <w:bidi w:val="0"/>
        <w:adjustRightInd w:val="0"/>
        <w:snapToGrid w:val="0"/>
        <w:spacing w:before="95" w:beforeLines="30" w:after="95" w:afterLines="30" w:line="420" w:lineRule="exact"/>
        <w:ind w:firstLine="560" w:firstLineChars="200"/>
        <w:contextualSpacing/>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bidi="ar-SA"/>
        </w:rPr>
        <w:t>4.本项目不收取</w:t>
      </w:r>
      <w:r>
        <w:rPr>
          <w:rFonts w:hint="eastAsia" w:ascii="仿宋" w:hAnsi="仿宋" w:eastAsia="仿宋" w:cs="仿宋"/>
          <w:color w:val="auto"/>
          <w:kern w:val="0"/>
          <w:sz w:val="28"/>
          <w:szCs w:val="28"/>
          <w:highlight w:val="none"/>
          <w:lang w:val="en-US" w:eastAsia="zh-CN"/>
        </w:rPr>
        <w:t>磋商保证金。</w:t>
      </w:r>
    </w:p>
    <w:p w14:paraId="150E92E9">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仿宋" w:hAnsi="仿宋" w:eastAsia="仿宋" w:cs="仿宋"/>
          <w:color w:val="auto"/>
          <w:sz w:val="28"/>
          <w:szCs w:val="28"/>
          <w:highlight w:val="none"/>
        </w:rPr>
      </w:pPr>
      <w:r>
        <w:rPr>
          <w:rFonts w:hint="eastAsia" w:ascii="黑体" w:hAnsi="黑体" w:eastAsia="黑体" w:cs="黑体"/>
          <w:color w:val="auto"/>
          <w:sz w:val="28"/>
          <w:szCs w:val="28"/>
          <w:highlight w:val="none"/>
        </w:rPr>
        <w:t>八、凡对本次采购提出询问，请按以下方式联系。</w:t>
      </w:r>
    </w:p>
    <w:p w14:paraId="301B0558">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1.采购人信息</w:t>
      </w:r>
    </w:p>
    <w:p w14:paraId="78FFB3EF">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名   称：安徽惠群城市物业有限公司</w:t>
      </w:r>
    </w:p>
    <w:p w14:paraId="32443CD9">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地   址：淮南市田家庵区洞山街道中兴村综合楼</w:t>
      </w:r>
    </w:p>
    <w:p w14:paraId="4B1F0529">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lang w:val="en-US"/>
        </w:rPr>
      </w:pPr>
      <w:r>
        <w:rPr>
          <w:rStyle w:val="48"/>
          <w:rFonts w:hint="eastAsia" w:ascii="仿宋" w:hAnsi="仿宋" w:eastAsia="仿宋" w:cs="仿宋"/>
          <w:color w:val="auto"/>
          <w:sz w:val="28"/>
          <w:szCs w:val="28"/>
          <w:highlight w:val="none"/>
        </w:rPr>
        <w:t>联系方式</w:t>
      </w:r>
      <w:r>
        <w:rPr>
          <w:rStyle w:val="48"/>
          <w:rFonts w:hint="eastAsia" w:ascii="仿宋" w:hAnsi="仿宋" w:eastAsia="仿宋" w:cs="仿宋"/>
          <w:color w:val="auto"/>
          <w:sz w:val="28"/>
          <w:szCs w:val="28"/>
          <w:highlight w:val="none"/>
          <w:lang w:val="en-US"/>
        </w:rPr>
        <w:t>:17330647383</w:t>
      </w:r>
    </w:p>
    <w:p w14:paraId="61B36E36">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2.采购代理机构信息</w:t>
      </w:r>
    </w:p>
    <w:p w14:paraId="79B6105B">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名   称：淮南市安泰工程咨询有限公司</w:t>
      </w:r>
    </w:p>
    <w:p w14:paraId="780835D5">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地   址：淮南市田家庵区中兴南巷5号楼对面（原市直机关房管所）</w:t>
      </w:r>
    </w:p>
    <w:p w14:paraId="12A19580">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联系方式：15955406260</w:t>
      </w:r>
    </w:p>
    <w:p w14:paraId="1676D47A">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3.项目联系方式</w:t>
      </w:r>
    </w:p>
    <w:p w14:paraId="4A87E655">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项目联系人：宋正正（采购人）、常伟（代理机构）</w:t>
      </w:r>
    </w:p>
    <w:p w14:paraId="688533F1">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color w:val="auto"/>
          <w:highlight w:val="none"/>
        </w:rPr>
      </w:pPr>
      <w:r>
        <w:rPr>
          <w:rFonts w:hint="eastAsia" w:ascii="仿宋" w:hAnsi="仿宋" w:eastAsia="仿宋" w:cs="仿宋"/>
          <w:color w:val="auto"/>
          <w:kern w:val="0"/>
          <w:sz w:val="28"/>
          <w:szCs w:val="28"/>
          <w:highlight w:val="none"/>
          <w:lang w:val="en-US" w:eastAsia="zh-CN" w:bidi="ar-SA"/>
        </w:rPr>
        <w:t>电   话：17330647383、15955406260</w:t>
      </w:r>
    </w:p>
    <w:p w14:paraId="1BD5BCB2">
      <w:pPr>
        <w:adjustRightInd w:val="0"/>
        <w:snapToGrid w:val="0"/>
        <w:contextualSpacing/>
        <w:rPr>
          <w:rFonts w:hAnsi="黑体" w:cs="仿宋"/>
          <w:color w:val="auto"/>
          <w:highlight w:val="none"/>
        </w:rPr>
      </w:pPr>
      <w:r>
        <w:rPr>
          <w:rFonts w:hAnsi="黑体" w:cs="仿宋"/>
          <w:color w:val="auto"/>
          <w:highlight w:val="none"/>
        </w:rPr>
        <w:br w:type="page"/>
      </w:r>
    </w:p>
    <w:p w14:paraId="390286A2">
      <w:pPr>
        <w:pStyle w:val="45"/>
        <w:spacing w:after="0"/>
        <w:jc w:val="center"/>
        <w:rPr>
          <w:rStyle w:val="43"/>
          <w:rFonts w:hint="default" w:ascii="Arial Unicode MS" w:hAnsi="仿宋" w:eastAsia="Arial Unicode MS" w:cs="仿宋"/>
          <w:b w:val="0"/>
          <w:color w:val="auto"/>
          <w:sz w:val="44"/>
          <w:szCs w:val="44"/>
          <w:highlight w:val="none"/>
        </w:rPr>
      </w:pPr>
      <w:bookmarkStart w:id="18" w:name="_Toc144968946"/>
      <w:r>
        <w:rPr>
          <w:rStyle w:val="43"/>
          <w:rFonts w:hint="default" w:ascii="Arial Unicode MS" w:hAnsi="仿宋" w:eastAsia="Arial Unicode MS" w:cs="仿宋"/>
          <w:b w:val="0"/>
          <w:color w:val="auto"/>
          <w:sz w:val="44"/>
          <w:szCs w:val="44"/>
          <w:highlight w:val="none"/>
        </w:rPr>
        <w:t>第二章 供应商须知前附表</w:t>
      </w:r>
      <w:bookmarkEnd w:id="18"/>
    </w:p>
    <w:tbl>
      <w:tblPr>
        <w:tblStyle w:val="28"/>
        <w:tblW w:w="9644" w:type="dxa"/>
        <w:jc w:val="center"/>
        <w:tblLayout w:type="fixed"/>
        <w:tblCellMar>
          <w:top w:w="0" w:type="dxa"/>
          <w:left w:w="0" w:type="dxa"/>
          <w:bottom w:w="0" w:type="dxa"/>
          <w:right w:w="0" w:type="dxa"/>
        </w:tblCellMar>
      </w:tblPr>
      <w:tblGrid>
        <w:gridCol w:w="647"/>
        <w:gridCol w:w="2075"/>
        <w:gridCol w:w="6922"/>
      </w:tblGrid>
      <w:tr w14:paraId="03386CA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F0E213B">
            <w:pPr>
              <w:spacing w:line="380" w:lineRule="exact"/>
              <w:jc w:val="center"/>
              <w:outlineLvl w:val="0"/>
              <w:rPr>
                <w:rFonts w:ascii="仿宋" w:hAnsi="仿宋" w:eastAsia="仿宋" w:cs="仿宋"/>
                <w:b/>
                <w:color w:val="auto"/>
                <w:kern w:val="0"/>
                <w:sz w:val="28"/>
                <w:szCs w:val="28"/>
                <w:highlight w:val="none"/>
              </w:rPr>
            </w:pPr>
            <w:bookmarkStart w:id="19" w:name="_Toc8312"/>
            <w:bookmarkEnd w:id="19"/>
            <w:bookmarkStart w:id="20" w:name="_Toc8922"/>
            <w:bookmarkEnd w:id="20"/>
            <w:bookmarkStart w:id="21" w:name="_Toc29062"/>
            <w:bookmarkEnd w:id="21"/>
            <w:bookmarkStart w:id="22" w:name="_Toc25994"/>
            <w:bookmarkEnd w:id="22"/>
            <w:bookmarkStart w:id="23" w:name="_Toc143449636"/>
            <w:bookmarkStart w:id="24" w:name="_Toc144968947"/>
            <w:bookmarkStart w:id="25" w:name="_Toc28104"/>
            <w:bookmarkStart w:id="26" w:name="_Toc143448914"/>
            <w:bookmarkStart w:id="27" w:name="_Toc19431"/>
            <w:r>
              <w:rPr>
                <w:rFonts w:hint="eastAsia" w:ascii="仿宋" w:hAnsi="仿宋" w:eastAsia="仿宋" w:cs="仿宋"/>
                <w:b/>
                <w:color w:val="auto"/>
                <w:kern w:val="0"/>
                <w:sz w:val="28"/>
                <w:szCs w:val="28"/>
                <w:highlight w:val="none"/>
              </w:rPr>
              <w:t>序号</w:t>
            </w:r>
            <w:bookmarkEnd w:id="23"/>
            <w:bookmarkEnd w:id="24"/>
            <w:bookmarkEnd w:id="25"/>
            <w:bookmarkEnd w:id="26"/>
            <w:bookmarkEnd w:id="2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DFA4">
            <w:pPr>
              <w:pStyle w:val="2"/>
              <w:spacing w:line="380" w:lineRule="exact"/>
              <w:jc w:val="center"/>
              <w:rPr>
                <w:rFonts w:hint="default" w:ascii="仿宋" w:hAnsi="仿宋" w:eastAsia="仿宋" w:cs="仿宋"/>
                <w:color w:val="auto"/>
                <w:sz w:val="28"/>
                <w:szCs w:val="28"/>
                <w:highlight w:val="none"/>
              </w:rPr>
            </w:pPr>
            <w:bookmarkStart w:id="28" w:name="_Toc28298"/>
            <w:bookmarkEnd w:id="28"/>
            <w:bookmarkStart w:id="29" w:name="_Toc19712"/>
            <w:bookmarkEnd w:id="29"/>
            <w:bookmarkStart w:id="30" w:name="_Toc22828"/>
            <w:bookmarkEnd w:id="30"/>
            <w:bookmarkStart w:id="31" w:name="_Toc16337"/>
            <w:bookmarkEnd w:id="31"/>
            <w:bookmarkStart w:id="32" w:name="_Toc143449637"/>
            <w:bookmarkStart w:id="33" w:name="_Toc143448915"/>
            <w:bookmarkStart w:id="34" w:name="_Toc13627"/>
            <w:bookmarkStart w:id="35" w:name="_Toc144968948"/>
            <w:bookmarkStart w:id="36" w:name="_Toc3426"/>
            <w:r>
              <w:rPr>
                <w:rFonts w:ascii="仿宋" w:hAnsi="仿宋" w:eastAsia="仿宋" w:cs="仿宋"/>
                <w:color w:val="auto"/>
                <w:sz w:val="28"/>
                <w:szCs w:val="28"/>
                <w:highlight w:val="none"/>
              </w:rPr>
              <w:t>条款名称</w:t>
            </w:r>
            <w:bookmarkEnd w:id="32"/>
            <w:bookmarkEnd w:id="33"/>
            <w:bookmarkEnd w:id="34"/>
            <w:bookmarkEnd w:id="35"/>
            <w:bookmarkEnd w:id="36"/>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A201">
            <w:pPr>
              <w:pStyle w:val="2"/>
              <w:spacing w:line="380" w:lineRule="exact"/>
              <w:jc w:val="center"/>
              <w:rPr>
                <w:rFonts w:hint="default" w:ascii="仿宋" w:hAnsi="仿宋" w:eastAsia="仿宋" w:cs="仿宋"/>
                <w:color w:val="auto"/>
                <w:sz w:val="28"/>
                <w:szCs w:val="28"/>
                <w:highlight w:val="none"/>
              </w:rPr>
            </w:pPr>
            <w:bookmarkStart w:id="37" w:name="_Toc16212"/>
            <w:bookmarkEnd w:id="37"/>
            <w:bookmarkStart w:id="38" w:name="_Toc16822"/>
            <w:bookmarkEnd w:id="38"/>
            <w:bookmarkStart w:id="39" w:name="_Toc20910"/>
            <w:bookmarkEnd w:id="39"/>
            <w:bookmarkStart w:id="40" w:name="_Toc2438"/>
            <w:bookmarkEnd w:id="40"/>
            <w:bookmarkStart w:id="41" w:name="_Toc143449638"/>
            <w:bookmarkStart w:id="42" w:name="_Toc144968949"/>
            <w:bookmarkStart w:id="43" w:name="_Toc11919"/>
            <w:bookmarkStart w:id="44" w:name="_Toc143448916"/>
            <w:bookmarkStart w:id="45" w:name="_Toc13517"/>
            <w:r>
              <w:rPr>
                <w:rFonts w:ascii="仿宋" w:hAnsi="仿宋" w:eastAsia="仿宋" w:cs="仿宋"/>
                <w:color w:val="auto"/>
                <w:sz w:val="28"/>
                <w:szCs w:val="28"/>
                <w:highlight w:val="none"/>
              </w:rPr>
              <w:t>编列内容</w:t>
            </w:r>
            <w:bookmarkEnd w:id="41"/>
            <w:bookmarkEnd w:id="42"/>
            <w:bookmarkEnd w:id="43"/>
            <w:bookmarkEnd w:id="44"/>
            <w:bookmarkEnd w:id="45"/>
          </w:p>
        </w:tc>
      </w:tr>
      <w:tr w14:paraId="5B12B059">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692FDAB">
            <w:pPr>
              <w:spacing w:line="380" w:lineRule="exact"/>
              <w:jc w:val="center"/>
              <w:outlineLvl w:val="0"/>
              <w:rPr>
                <w:rFonts w:ascii="仿宋" w:hAnsi="仿宋" w:eastAsia="仿宋" w:cs="仿宋"/>
                <w:color w:val="auto"/>
                <w:kern w:val="0"/>
                <w:sz w:val="28"/>
                <w:szCs w:val="28"/>
                <w:highlight w:val="none"/>
              </w:rPr>
            </w:pPr>
            <w:bookmarkStart w:id="46" w:name="_Toc143448917"/>
            <w:bookmarkStart w:id="47" w:name="_Toc24684"/>
            <w:bookmarkStart w:id="48" w:name="_Toc143449639"/>
            <w:bookmarkStart w:id="49" w:name="_Toc144968950"/>
            <w:bookmarkStart w:id="50" w:name="_Toc20988"/>
            <w:r>
              <w:rPr>
                <w:rFonts w:hint="eastAsia" w:ascii="仿宋" w:hAnsi="仿宋" w:eastAsia="仿宋" w:cs="仿宋"/>
                <w:color w:val="auto"/>
                <w:kern w:val="0"/>
                <w:sz w:val="28"/>
                <w:szCs w:val="28"/>
                <w:highlight w:val="none"/>
              </w:rPr>
              <w:t>1</w:t>
            </w:r>
            <w:bookmarkEnd w:id="46"/>
            <w:bookmarkEnd w:id="47"/>
            <w:bookmarkEnd w:id="48"/>
            <w:bookmarkEnd w:id="49"/>
            <w:bookmarkEnd w:id="5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6643">
            <w:pPr>
              <w:pStyle w:val="2"/>
              <w:spacing w:line="380" w:lineRule="exact"/>
              <w:jc w:val="center"/>
              <w:rPr>
                <w:rFonts w:hint="default" w:ascii="仿宋" w:hAnsi="仿宋" w:eastAsia="仿宋" w:cs="仿宋"/>
                <w:b w:val="0"/>
                <w:color w:val="auto"/>
                <w:sz w:val="28"/>
                <w:szCs w:val="28"/>
                <w:highlight w:val="none"/>
              </w:rPr>
            </w:pPr>
            <w:bookmarkStart w:id="51" w:name="_Toc15349"/>
            <w:bookmarkEnd w:id="51"/>
            <w:bookmarkStart w:id="52" w:name="_Toc20041"/>
            <w:bookmarkEnd w:id="52"/>
            <w:bookmarkStart w:id="53" w:name="_Toc31619"/>
            <w:bookmarkEnd w:id="53"/>
            <w:bookmarkStart w:id="54" w:name="_Toc8868"/>
            <w:bookmarkEnd w:id="54"/>
            <w:bookmarkStart w:id="55" w:name="_Toc9422"/>
            <w:bookmarkStart w:id="56" w:name="_Toc143448918"/>
            <w:bookmarkStart w:id="57" w:name="_Toc32296"/>
            <w:bookmarkStart w:id="58" w:name="_Toc143449640"/>
            <w:bookmarkStart w:id="59" w:name="_Toc144968951"/>
            <w:r>
              <w:rPr>
                <w:rFonts w:ascii="仿宋" w:hAnsi="仿宋" w:eastAsia="仿宋" w:cs="仿宋"/>
                <w:b w:val="0"/>
                <w:color w:val="auto"/>
                <w:sz w:val="28"/>
                <w:szCs w:val="28"/>
                <w:highlight w:val="none"/>
              </w:rPr>
              <w:t>采购人</w:t>
            </w:r>
            <w:bookmarkEnd w:id="55"/>
            <w:bookmarkEnd w:id="56"/>
            <w:bookmarkEnd w:id="57"/>
            <w:bookmarkEnd w:id="58"/>
            <w:bookmarkEnd w:id="5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1B0B">
            <w:pPr>
              <w:widowControl w:val="0"/>
              <w:spacing w:line="380" w:lineRule="exact"/>
              <w:ind w:left="1400" w:hanging="1400" w:hangingChars="5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lang w:bidi="ar"/>
              </w:rPr>
              <w:t>名  称：</w:t>
            </w:r>
            <w:r>
              <w:rPr>
                <w:rFonts w:hint="eastAsia" w:ascii="仿宋" w:hAnsi="仿宋" w:eastAsia="仿宋" w:cs="仿宋"/>
                <w:color w:val="auto"/>
                <w:sz w:val="28"/>
                <w:szCs w:val="28"/>
                <w:highlight w:val="none"/>
                <w:lang w:eastAsia="zh-CN"/>
              </w:rPr>
              <w:t xml:space="preserve">安徽惠群城市物业有限公司 </w:t>
            </w:r>
          </w:p>
          <w:p w14:paraId="1125B395">
            <w:pPr>
              <w:spacing w:line="380" w:lineRule="exact"/>
              <w:jc w:val="left"/>
              <w:textAlignment w:val="auto"/>
              <w:outlineLvl w:val="0"/>
              <w:rPr>
                <w:rFonts w:hint="eastAsia" w:ascii="仿宋" w:hAnsi="仿宋" w:eastAsia="仿宋" w:cs="仿宋"/>
                <w:bCs/>
                <w:color w:val="auto"/>
                <w:kern w:val="0"/>
                <w:sz w:val="28"/>
                <w:szCs w:val="28"/>
                <w:highlight w:val="none"/>
                <w:lang w:eastAsia="zh-CN"/>
              </w:rPr>
            </w:pPr>
            <w:bookmarkStart w:id="60" w:name="_Toc144892390"/>
            <w:bookmarkStart w:id="61" w:name="_Toc27572"/>
            <w:bookmarkStart w:id="62" w:name="_Toc2812"/>
            <w:bookmarkStart w:id="63" w:name="_Toc3123"/>
            <w:r>
              <w:rPr>
                <w:rFonts w:ascii="仿宋" w:hAnsi="仿宋" w:eastAsia="仿宋" w:cs="仿宋"/>
                <w:color w:val="auto"/>
                <w:kern w:val="0"/>
                <w:sz w:val="28"/>
                <w:szCs w:val="28"/>
                <w:highlight w:val="none"/>
                <w:lang w:bidi="ar"/>
              </w:rPr>
              <w:t>地  址：</w:t>
            </w:r>
            <w:bookmarkEnd w:id="60"/>
            <w:bookmarkEnd w:id="61"/>
            <w:bookmarkEnd w:id="62"/>
            <w:bookmarkEnd w:id="63"/>
            <w:r>
              <w:rPr>
                <w:rFonts w:hint="eastAsia" w:ascii="仿宋" w:hAnsi="仿宋" w:eastAsia="仿宋" w:cs="仿宋"/>
                <w:color w:val="auto"/>
                <w:sz w:val="28"/>
                <w:szCs w:val="28"/>
                <w:highlight w:val="none"/>
                <w:lang w:eastAsia="zh-CN"/>
              </w:rPr>
              <w:t>淮南市田家庵区洞山街道中兴村综合楼</w:t>
            </w:r>
          </w:p>
          <w:p w14:paraId="5F6CC462">
            <w:pPr>
              <w:spacing w:line="380" w:lineRule="exact"/>
              <w:jc w:val="left"/>
              <w:textAlignment w:val="auto"/>
              <w:outlineLvl w:val="0"/>
              <w:rPr>
                <w:rFonts w:hint="default" w:ascii="仿宋" w:hAnsi="仿宋" w:eastAsia="仿宋" w:cs="仿宋"/>
                <w:color w:val="auto"/>
                <w:kern w:val="0"/>
                <w:sz w:val="28"/>
                <w:szCs w:val="28"/>
                <w:highlight w:val="none"/>
                <w:lang w:val="en-US"/>
              </w:rPr>
            </w:pPr>
            <w:bookmarkStart w:id="64" w:name="_Toc12352"/>
            <w:bookmarkStart w:id="65" w:name="_Toc21804"/>
            <w:bookmarkStart w:id="66" w:name="_Toc546"/>
            <w:bookmarkStart w:id="67" w:name="_Toc144892391"/>
            <w:r>
              <w:rPr>
                <w:rFonts w:ascii="仿宋" w:hAnsi="仿宋" w:eastAsia="仿宋" w:cs="仿宋"/>
                <w:color w:val="auto"/>
                <w:kern w:val="0"/>
                <w:sz w:val="28"/>
                <w:szCs w:val="28"/>
                <w:highlight w:val="none"/>
              </w:rPr>
              <w:t>联系人：</w:t>
            </w:r>
            <w:bookmarkEnd w:id="64"/>
            <w:bookmarkEnd w:id="65"/>
            <w:bookmarkEnd w:id="66"/>
            <w:bookmarkEnd w:id="67"/>
            <w:r>
              <w:rPr>
                <w:rFonts w:hint="eastAsia" w:ascii="仿宋" w:hAnsi="仿宋" w:eastAsia="仿宋" w:cs="仿宋"/>
                <w:color w:val="auto"/>
                <w:kern w:val="0"/>
                <w:sz w:val="28"/>
                <w:szCs w:val="28"/>
                <w:highlight w:val="none"/>
                <w:lang w:val="en-US" w:eastAsia="zh-CN" w:bidi="ar-SA"/>
              </w:rPr>
              <w:t>宋正正</w:t>
            </w:r>
          </w:p>
          <w:p w14:paraId="5AF93159">
            <w:pPr>
              <w:spacing w:line="38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电  话：</w:t>
            </w:r>
            <w:r>
              <w:rPr>
                <w:rFonts w:hint="eastAsia" w:ascii="仿宋" w:hAnsi="仿宋" w:eastAsia="仿宋" w:cs="仿宋"/>
                <w:color w:val="auto"/>
                <w:kern w:val="0"/>
                <w:sz w:val="28"/>
                <w:szCs w:val="28"/>
                <w:highlight w:val="none"/>
                <w:lang w:val="en-US" w:eastAsia="zh-CN" w:bidi="ar-SA"/>
              </w:rPr>
              <w:t>17330647383</w:t>
            </w:r>
          </w:p>
        </w:tc>
      </w:tr>
      <w:tr w14:paraId="4F9E60E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632F958">
            <w:pPr>
              <w:spacing w:line="380" w:lineRule="exact"/>
              <w:jc w:val="center"/>
              <w:outlineLvl w:val="0"/>
              <w:rPr>
                <w:rFonts w:ascii="仿宋" w:hAnsi="仿宋" w:eastAsia="仿宋" w:cs="仿宋"/>
                <w:color w:val="auto"/>
                <w:kern w:val="0"/>
                <w:sz w:val="28"/>
                <w:szCs w:val="28"/>
                <w:highlight w:val="none"/>
              </w:rPr>
            </w:pPr>
            <w:bookmarkStart w:id="68" w:name="_Toc143449643"/>
            <w:bookmarkStart w:id="69" w:name="_Toc143448921"/>
            <w:bookmarkStart w:id="70" w:name="_Toc144968954"/>
            <w:bookmarkStart w:id="71" w:name="_Toc8739"/>
            <w:bookmarkStart w:id="72" w:name="_Toc10297"/>
            <w:r>
              <w:rPr>
                <w:rFonts w:hint="eastAsia" w:ascii="仿宋" w:hAnsi="仿宋" w:eastAsia="仿宋" w:cs="仿宋"/>
                <w:color w:val="auto"/>
                <w:kern w:val="0"/>
                <w:sz w:val="28"/>
                <w:szCs w:val="28"/>
                <w:highlight w:val="none"/>
              </w:rPr>
              <w:t>2</w:t>
            </w:r>
            <w:bookmarkEnd w:id="68"/>
            <w:bookmarkEnd w:id="69"/>
            <w:bookmarkEnd w:id="70"/>
            <w:bookmarkEnd w:id="71"/>
            <w:bookmarkEnd w:id="7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B646">
            <w:pPr>
              <w:pStyle w:val="2"/>
              <w:spacing w:line="380" w:lineRule="exact"/>
              <w:jc w:val="center"/>
              <w:rPr>
                <w:rFonts w:hint="default" w:ascii="仿宋" w:hAnsi="仿宋" w:eastAsia="仿宋" w:cs="仿宋"/>
                <w:b w:val="0"/>
                <w:color w:val="auto"/>
                <w:sz w:val="28"/>
                <w:szCs w:val="28"/>
                <w:highlight w:val="none"/>
              </w:rPr>
            </w:pPr>
            <w:bookmarkStart w:id="73" w:name="_Toc10962"/>
            <w:bookmarkEnd w:id="73"/>
            <w:bookmarkStart w:id="74" w:name="_Toc27053"/>
            <w:bookmarkEnd w:id="74"/>
            <w:bookmarkStart w:id="75" w:name="_Toc12200"/>
            <w:bookmarkEnd w:id="75"/>
            <w:bookmarkStart w:id="76" w:name="_Toc30148"/>
            <w:bookmarkEnd w:id="76"/>
            <w:bookmarkStart w:id="77" w:name="_Toc143449644"/>
            <w:bookmarkStart w:id="78" w:name="_Toc2169"/>
            <w:bookmarkStart w:id="79" w:name="_Toc143448922"/>
            <w:bookmarkStart w:id="80" w:name="_Toc144968955"/>
            <w:bookmarkStart w:id="81" w:name="_Toc17363"/>
            <w:r>
              <w:rPr>
                <w:rFonts w:ascii="仿宋" w:hAnsi="仿宋" w:eastAsia="仿宋" w:cs="仿宋"/>
                <w:b w:val="0"/>
                <w:color w:val="auto"/>
                <w:sz w:val="28"/>
                <w:szCs w:val="28"/>
                <w:highlight w:val="none"/>
              </w:rPr>
              <w:t>采购代理机构</w:t>
            </w:r>
            <w:bookmarkEnd w:id="77"/>
            <w:bookmarkEnd w:id="78"/>
            <w:bookmarkEnd w:id="79"/>
            <w:bookmarkEnd w:id="80"/>
            <w:bookmarkEnd w:id="81"/>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390A">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名  称：</w:t>
            </w:r>
            <w:r>
              <w:rPr>
                <w:rStyle w:val="48"/>
                <w:rFonts w:hint="eastAsia" w:ascii="仿宋" w:hAnsi="仿宋" w:eastAsia="仿宋" w:cs="仿宋"/>
                <w:color w:val="auto"/>
                <w:kern w:val="0"/>
                <w:sz w:val="28"/>
                <w:szCs w:val="28"/>
                <w:highlight w:val="none"/>
              </w:rPr>
              <w:t>淮南市安泰工程咨询有限公司</w:t>
            </w:r>
          </w:p>
          <w:p w14:paraId="15A1FEA6">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w:t>
            </w:r>
            <w:r>
              <w:rPr>
                <w:rStyle w:val="48"/>
                <w:rFonts w:hint="eastAsia" w:ascii="仿宋" w:hAnsi="仿宋" w:eastAsia="仿宋" w:cs="仿宋"/>
                <w:color w:val="auto"/>
                <w:kern w:val="0"/>
                <w:sz w:val="28"/>
                <w:szCs w:val="28"/>
                <w:highlight w:val="none"/>
              </w:rPr>
              <w:t>淮南市田家庵区中兴南巷5号楼对面（原市直机关房管所）</w:t>
            </w:r>
          </w:p>
          <w:p w14:paraId="00261D7A">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sz w:val="28"/>
                <w:szCs w:val="28"/>
                <w:highlight w:val="none"/>
                <w:lang w:val="en-US" w:eastAsia="zh-CN"/>
              </w:rPr>
              <w:t>常伟</w:t>
            </w:r>
          </w:p>
          <w:p w14:paraId="50D0DBB7">
            <w:pPr>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电  话：</w:t>
            </w:r>
            <w:r>
              <w:rPr>
                <w:rFonts w:hint="eastAsia" w:ascii="仿宋" w:hAnsi="仿宋" w:eastAsia="仿宋" w:cs="仿宋"/>
                <w:color w:val="auto"/>
                <w:sz w:val="28"/>
                <w:szCs w:val="28"/>
                <w:highlight w:val="none"/>
                <w:lang w:val="en-US" w:eastAsia="zh-CN"/>
              </w:rPr>
              <w:t>15955406260</w:t>
            </w:r>
          </w:p>
        </w:tc>
      </w:tr>
      <w:tr w14:paraId="4337956A">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B75BF87">
            <w:pPr>
              <w:spacing w:line="380" w:lineRule="exact"/>
              <w:jc w:val="center"/>
              <w:outlineLvl w:val="0"/>
              <w:rPr>
                <w:rFonts w:ascii="仿宋" w:hAnsi="仿宋" w:eastAsia="仿宋" w:cs="仿宋"/>
                <w:color w:val="auto"/>
                <w:kern w:val="0"/>
                <w:sz w:val="28"/>
                <w:szCs w:val="28"/>
                <w:highlight w:val="none"/>
              </w:rPr>
            </w:pPr>
            <w:bookmarkStart w:id="82" w:name="_Toc19923"/>
            <w:bookmarkStart w:id="83" w:name="_Toc143449645"/>
            <w:bookmarkStart w:id="84" w:name="_Toc143448923"/>
            <w:bookmarkStart w:id="85" w:name="_Toc2155"/>
            <w:bookmarkStart w:id="86" w:name="_Toc144968956"/>
            <w:r>
              <w:rPr>
                <w:rFonts w:hint="eastAsia" w:ascii="仿宋" w:hAnsi="仿宋" w:eastAsia="仿宋" w:cs="仿宋"/>
                <w:color w:val="auto"/>
                <w:kern w:val="0"/>
                <w:sz w:val="28"/>
                <w:szCs w:val="28"/>
                <w:highlight w:val="none"/>
              </w:rPr>
              <w:t>3</w:t>
            </w:r>
            <w:bookmarkEnd w:id="82"/>
            <w:bookmarkEnd w:id="83"/>
            <w:bookmarkEnd w:id="84"/>
            <w:bookmarkEnd w:id="85"/>
            <w:bookmarkEnd w:id="8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333C">
            <w:pPr>
              <w:pStyle w:val="2"/>
              <w:spacing w:line="380" w:lineRule="exact"/>
              <w:jc w:val="center"/>
              <w:rPr>
                <w:rFonts w:hint="default" w:ascii="仿宋" w:hAnsi="仿宋" w:eastAsia="仿宋" w:cs="仿宋"/>
                <w:b w:val="0"/>
                <w:color w:val="auto"/>
                <w:sz w:val="28"/>
                <w:szCs w:val="28"/>
                <w:highlight w:val="none"/>
              </w:rPr>
            </w:pPr>
            <w:bookmarkStart w:id="87" w:name="_Toc20465"/>
            <w:bookmarkEnd w:id="87"/>
            <w:bookmarkStart w:id="88" w:name="_Toc19303"/>
            <w:bookmarkEnd w:id="88"/>
            <w:bookmarkStart w:id="89" w:name="_Toc21366"/>
            <w:bookmarkEnd w:id="89"/>
            <w:bookmarkStart w:id="90" w:name="_Toc11115"/>
            <w:bookmarkEnd w:id="90"/>
            <w:bookmarkStart w:id="91" w:name="_Toc26365"/>
            <w:bookmarkEnd w:id="91"/>
            <w:bookmarkStart w:id="92" w:name="_Toc26767"/>
            <w:bookmarkEnd w:id="92"/>
            <w:bookmarkStart w:id="93" w:name="_Toc31403"/>
            <w:bookmarkEnd w:id="93"/>
            <w:bookmarkStart w:id="94" w:name="_Toc9742"/>
            <w:bookmarkEnd w:id="94"/>
            <w:bookmarkStart w:id="95" w:name="_Toc143448924"/>
            <w:bookmarkStart w:id="96" w:name="_Toc1829"/>
            <w:bookmarkStart w:id="97" w:name="_Toc6560"/>
            <w:bookmarkStart w:id="98" w:name="_Toc143449646"/>
            <w:bookmarkStart w:id="99" w:name="_Toc144968957"/>
            <w:r>
              <w:rPr>
                <w:rFonts w:ascii="仿宋" w:hAnsi="仿宋" w:eastAsia="仿宋" w:cs="仿宋"/>
                <w:b w:val="0"/>
                <w:color w:val="auto"/>
                <w:sz w:val="28"/>
                <w:szCs w:val="28"/>
                <w:highlight w:val="none"/>
              </w:rPr>
              <w:t>项目名称</w:t>
            </w:r>
            <w:bookmarkEnd w:id="95"/>
            <w:bookmarkEnd w:id="96"/>
            <w:bookmarkEnd w:id="97"/>
            <w:bookmarkEnd w:id="98"/>
            <w:bookmarkEnd w:id="9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2EC">
            <w:pPr>
              <w:spacing w:before="120" w:beforeLines="50" w:after="120" w:afterLines="50" w:line="380" w:lineRule="exact"/>
              <w:ind w:right="105" w:rightChars="5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bidi="ar"/>
              </w:rPr>
              <w:t>西城嘉园小区公租房装修改造外墙及屋面防水工程</w:t>
            </w:r>
            <w:r>
              <w:rPr>
                <w:rFonts w:hint="eastAsia" w:ascii="仿宋" w:hAnsi="仿宋" w:eastAsia="仿宋" w:cs="仿宋"/>
                <w:color w:val="auto"/>
                <w:kern w:val="0"/>
                <w:sz w:val="28"/>
                <w:szCs w:val="28"/>
                <w:highlight w:val="none"/>
                <w:lang w:bidi="ar"/>
              </w:rPr>
              <w:tab/>
            </w:r>
          </w:p>
        </w:tc>
      </w:tr>
      <w:tr w14:paraId="09B4D74F">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A687E48">
            <w:pPr>
              <w:spacing w:line="380" w:lineRule="exact"/>
              <w:jc w:val="center"/>
              <w:outlineLvl w:val="0"/>
              <w:rPr>
                <w:rFonts w:ascii="仿宋" w:hAnsi="仿宋" w:eastAsia="仿宋" w:cs="仿宋"/>
                <w:color w:val="auto"/>
                <w:kern w:val="0"/>
                <w:sz w:val="28"/>
                <w:szCs w:val="28"/>
                <w:highlight w:val="none"/>
              </w:rPr>
            </w:pPr>
            <w:bookmarkStart w:id="100" w:name="_Toc143448925"/>
            <w:bookmarkStart w:id="101" w:name="_Toc144968958"/>
            <w:bookmarkStart w:id="102" w:name="_Toc19459"/>
            <w:bookmarkStart w:id="103" w:name="_Toc30009"/>
            <w:bookmarkStart w:id="104" w:name="_Toc143449647"/>
            <w:r>
              <w:rPr>
                <w:rFonts w:hint="eastAsia" w:ascii="仿宋" w:hAnsi="仿宋" w:eastAsia="仿宋" w:cs="仿宋"/>
                <w:color w:val="auto"/>
                <w:kern w:val="0"/>
                <w:sz w:val="28"/>
                <w:szCs w:val="28"/>
                <w:highlight w:val="none"/>
              </w:rPr>
              <w:t>4</w:t>
            </w:r>
            <w:bookmarkEnd w:id="100"/>
            <w:bookmarkEnd w:id="101"/>
            <w:bookmarkEnd w:id="102"/>
            <w:bookmarkEnd w:id="103"/>
            <w:bookmarkEnd w:id="104"/>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F155">
            <w:pPr>
              <w:pStyle w:val="50"/>
              <w:spacing w:before="0" w:beforeAutospacing="0" w:after="0" w:afterAutospacing="0" w:line="380" w:lineRule="exact"/>
              <w:rPr>
                <w:rFonts w:ascii="仿宋" w:hAnsi="仿宋" w:eastAsia="仿宋" w:cs="仿宋"/>
                <w:b w:val="0"/>
                <w:bCs w:val="0"/>
                <w:color w:val="auto"/>
                <w:highlight w:val="none"/>
              </w:rPr>
            </w:pPr>
            <w:bookmarkStart w:id="105" w:name="_Toc13522"/>
            <w:bookmarkEnd w:id="105"/>
            <w:bookmarkStart w:id="106" w:name="_Toc12389"/>
            <w:bookmarkEnd w:id="106"/>
            <w:bookmarkStart w:id="107" w:name="_Toc3798"/>
            <w:bookmarkEnd w:id="107"/>
            <w:bookmarkStart w:id="108" w:name="_Toc2984"/>
            <w:bookmarkEnd w:id="108"/>
            <w:r>
              <w:rPr>
                <w:rFonts w:hint="eastAsia" w:ascii="仿宋" w:hAnsi="仿宋" w:eastAsia="仿宋" w:cs="仿宋"/>
                <w:b w:val="0"/>
                <w:bCs w:val="0"/>
                <w:color w:val="auto"/>
                <w:highlight w:val="none"/>
              </w:rPr>
              <w:t>标段划分</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1708">
            <w:pPr>
              <w:pStyle w:val="50"/>
              <w:spacing w:before="0" w:beforeAutospacing="0" w:after="0" w:afterAutospacing="0" w:line="380" w:lineRule="exact"/>
              <w:jc w:val="both"/>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不分包 □分为</w:t>
            </w:r>
            <w:r>
              <w:rPr>
                <w:rFonts w:hint="eastAsia" w:ascii="仿宋" w:hAnsi="仿宋" w:eastAsia="仿宋" w:cs="仿宋"/>
                <w:b w:val="0"/>
                <w:color w:val="auto"/>
                <w:highlight w:val="none"/>
                <w:lang w:bidi="ar"/>
              </w:rPr>
              <w:t>xxxx</w:t>
            </w:r>
            <w:r>
              <w:rPr>
                <w:rFonts w:hint="eastAsia" w:ascii="仿宋" w:hAnsi="仿宋" w:eastAsia="仿宋" w:cs="仿宋"/>
                <w:b w:val="0"/>
                <w:bCs w:val="0"/>
                <w:color w:val="auto"/>
                <w:highlight w:val="none"/>
              </w:rPr>
              <w:t xml:space="preserve"> 个包</w:t>
            </w:r>
          </w:p>
        </w:tc>
      </w:tr>
      <w:tr w14:paraId="716613C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CF4E749">
            <w:pPr>
              <w:spacing w:line="380" w:lineRule="exact"/>
              <w:jc w:val="center"/>
              <w:outlineLvl w:val="0"/>
              <w:rPr>
                <w:rFonts w:ascii="仿宋" w:hAnsi="仿宋" w:eastAsia="仿宋" w:cs="仿宋"/>
                <w:color w:val="auto"/>
                <w:kern w:val="0"/>
                <w:sz w:val="28"/>
                <w:szCs w:val="28"/>
                <w:highlight w:val="none"/>
              </w:rPr>
            </w:pPr>
            <w:bookmarkStart w:id="109" w:name="_Toc143449648"/>
            <w:bookmarkStart w:id="110" w:name="_Toc144968959"/>
            <w:bookmarkStart w:id="111" w:name="_Toc143448926"/>
            <w:r>
              <w:rPr>
                <w:rFonts w:hint="eastAsia" w:ascii="仿宋" w:hAnsi="仿宋" w:eastAsia="仿宋" w:cs="仿宋"/>
                <w:color w:val="auto"/>
                <w:kern w:val="0"/>
                <w:sz w:val="28"/>
                <w:szCs w:val="28"/>
                <w:highlight w:val="none"/>
              </w:rPr>
              <w:t>5</w:t>
            </w:r>
            <w:bookmarkEnd w:id="109"/>
            <w:bookmarkEnd w:id="110"/>
            <w:bookmarkEnd w:id="111"/>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002A">
            <w:pPr>
              <w:pStyle w:val="50"/>
              <w:spacing w:before="0" w:beforeAutospacing="0" w:after="0" w:afterAutospacing="0" w:line="380" w:lineRule="exact"/>
              <w:rPr>
                <w:rFonts w:ascii="仿宋" w:hAnsi="仿宋" w:eastAsia="仿宋" w:cs="仿宋"/>
                <w:b w:val="0"/>
                <w:bCs w:val="0"/>
                <w:color w:val="auto"/>
                <w:highlight w:val="none"/>
              </w:rPr>
            </w:pPr>
            <w:r>
              <w:rPr>
                <w:rFonts w:hint="eastAsia" w:ascii="仿宋" w:hAnsi="仿宋" w:eastAsia="仿宋" w:cs="仿宋"/>
                <w:b w:val="0"/>
                <w:bCs w:val="0"/>
                <w:color w:val="auto"/>
                <w:highlight w:val="none"/>
              </w:rPr>
              <w:t>是否为专门面向</w:t>
            </w:r>
          </w:p>
          <w:p w14:paraId="226D7396">
            <w:pPr>
              <w:pStyle w:val="50"/>
              <w:spacing w:before="0" w:beforeAutospacing="0" w:after="0" w:afterAutospacing="0" w:line="380" w:lineRule="exact"/>
              <w:rPr>
                <w:rFonts w:ascii="仿宋" w:hAnsi="仿宋" w:eastAsia="仿宋" w:cs="仿宋"/>
                <w:b w:val="0"/>
                <w:bCs w:val="0"/>
                <w:color w:val="auto"/>
                <w:highlight w:val="none"/>
              </w:rPr>
            </w:pPr>
            <w:r>
              <w:rPr>
                <w:rFonts w:hint="eastAsia" w:ascii="仿宋" w:hAnsi="仿宋" w:eastAsia="仿宋" w:cs="仿宋"/>
                <w:b w:val="0"/>
                <w:bCs w:val="0"/>
                <w:color w:val="auto"/>
                <w:highlight w:val="none"/>
              </w:rPr>
              <w:t>中小企业采购</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2ED9">
            <w:pPr>
              <w:pStyle w:val="50"/>
              <w:spacing w:before="0" w:beforeAutospacing="0" w:after="0" w:afterAutospacing="0" w:line="38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是 □否</w:t>
            </w:r>
          </w:p>
        </w:tc>
      </w:tr>
      <w:tr w14:paraId="51094614">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7AC2DCD">
            <w:pPr>
              <w:spacing w:line="380" w:lineRule="exact"/>
              <w:jc w:val="center"/>
              <w:outlineLvl w:val="0"/>
              <w:rPr>
                <w:rFonts w:ascii="仿宋" w:hAnsi="仿宋" w:eastAsia="仿宋" w:cs="仿宋"/>
                <w:color w:val="auto"/>
                <w:kern w:val="0"/>
                <w:sz w:val="28"/>
                <w:szCs w:val="28"/>
                <w:highlight w:val="none"/>
              </w:rPr>
            </w:pPr>
            <w:bookmarkStart w:id="112" w:name="_Toc143448927"/>
            <w:bookmarkStart w:id="113" w:name="_Toc144968960"/>
            <w:bookmarkStart w:id="114" w:name="_Toc143449649"/>
            <w:r>
              <w:rPr>
                <w:rFonts w:hint="eastAsia" w:ascii="仿宋" w:hAnsi="仿宋" w:eastAsia="仿宋" w:cs="仿宋"/>
                <w:color w:val="auto"/>
                <w:kern w:val="0"/>
                <w:sz w:val="28"/>
                <w:szCs w:val="28"/>
                <w:highlight w:val="none"/>
              </w:rPr>
              <w:t>6</w:t>
            </w:r>
            <w:bookmarkEnd w:id="112"/>
            <w:bookmarkEnd w:id="113"/>
            <w:bookmarkEnd w:id="114"/>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FA04">
            <w:pPr>
              <w:pStyle w:val="2"/>
              <w:spacing w:line="380" w:lineRule="exact"/>
              <w:jc w:val="center"/>
              <w:rPr>
                <w:rFonts w:hint="default" w:ascii="仿宋" w:hAnsi="仿宋" w:eastAsia="仿宋" w:cs="仿宋"/>
                <w:b w:val="0"/>
                <w:color w:val="auto"/>
                <w:sz w:val="28"/>
                <w:szCs w:val="28"/>
                <w:highlight w:val="none"/>
              </w:rPr>
            </w:pPr>
            <w:bookmarkStart w:id="115" w:name="_Toc144968961"/>
            <w:bookmarkStart w:id="116" w:name="_Toc143449650"/>
            <w:bookmarkStart w:id="117" w:name="_Toc143448928"/>
            <w:bookmarkStart w:id="118" w:name="_Toc18638"/>
            <w:bookmarkStart w:id="119" w:name="_Toc15968"/>
            <w:r>
              <w:rPr>
                <w:rFonts w:ascii="仿宋" w:hAnsi="仿宋" w:eastAsia="仿宋" w:cs="仿宋"/>
                <w:b w:val="0"/>
                <w:color w:val="auto"/>
                <w:sz w:val="28"/>
                <w:szCs w:val="28"/>
                <w:highlight w:val="none"/>
              </w:rPr>
              <w:t>是否接受联合体投标</w:t>
            </w:r>
            <w:bookmarkEnd w:id="115"/>
            <w:bookmarkEnd w:id="116"/>
            <w:bookmarkEnd w:id="117"/>
            <w:bookmarkEnd w:id="118"/>
            <w:bookmarkEnd w:id="11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946B">
            <w:pPr>
              <w:pStyle w:val="2"/>
              <w:spacing w:line="380" w:lineRule="exact"/>
              <w:jc w:val="both"/>
              <w:rPr>
                <w:rFonts w:hint="default" w:ascii="仿宋" w:hAnsi="仿宋" w:eastAsia="仿宋" w:cs="仿宋"/>
                <w:b w:val="0"/>
                <w:color w:val="auto"/>
                <w:sz w:val="28"/>
                <w:szCs w:val="28"/>
                <w:highlight w:val="none"/>
              </w:rPr>
            </w:pPr>
            <w:bookmarkStart w:id="120" w:name="_Toc143449651"/>
            <w:bookmarkStart w:id="121" w:name="_Toc144968962"/>
            <w:bookmarkStart w:id="122" w:name="_Toc143448929"/>
            <w:r>
              <w:rPr>
                <w:rFonts w:ascii="仿宋" w:hAnsi="仿宋" w:eastAsia="仿宋" w:cs="仿宋"/>
                <w:b w:val="0"/>
                <w:color w:val="auto"/>
                <w:sz w:val="28"/>
                <w:szCs w:val="28"/>
                <w:highlight w:val="none"/>
              </w:rPr>
              <w:t xml:space="preserve">□是 </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否</w:t>
            </w:r>
            <w:bookmarkEnd w:id="120"/>
            <w:bookmarkEnd w:id="121"/>
            <w:bookmarkEnd w:id="122"/>
          </w:p>
        </w:tc>
      </w:tr>
      <w:tr w14:paraId="135D2C00">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9FCED59">
            <w:pPr>
              <w:spacing w:line="380" w:lineRule="exact"/>
              <w:jc w:val="center"/>
              <w:outlineLvl w:val="0"/>
              <w:rPr>
                <w:rFonts w:ascii="仿宋" w:hAnsi="仿宋" w:eastAsia="仿宋" w:cs="仿宋"/>
                <w:color w:val="auto"/>
                <w:kern w:val="0"/>
                <w:sz w:val="28"/>
                <w:szCs w:val="28"/>
                <w:highlight w:val="none"/>
              </w:rPr>
            </w:pPr>
            <w:bookmarkStart w:id="123" w:name="_Toc143449652"/>
            <w:bookmarkStart w:id="124" w:name="_Toc144968963"/>
            <w:bookmarkStart w:id="125" w:name="_Toc143448930"/>
            <w:r>
              <w:rPr>
                <w:rFonts w:hint="eastAsia" w:ascii="仿宋" w:hAnsi="仿宋" w:eastAsia="仿宋" w:cs="仿宋"/>
                <w:color w:val="auto"/>
                <w:kern w:val="0"/>
                <w:sz w:val="28"/>
                <w:szCs w:val="28"/>
                <w:highlight w:val="none"/>
              </w:rPr>
              <w:t>7</w:t>
            </w:r>
            <w:bookmarkEnd w:id="123"/>
            <w:bookmarkEnd w:id="124"/>
            <w:bookmarkEnd w:id="12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9209">
            <w:pPr>
              <w:pStyle w:val="2"/>
              <w:spacing w:line="380" w:lineRule="exact"/>
              <w:jc w:val="center"/>
              <w:rPr>
                <w:rFonts w:hint="default" w:ascii="仿宋" w:hAnsi="仿宋" w:eastAsia="仿宋" w:cs="仿宋"/>
                <w:b w:val="0"/>
                <w:color w:val="auto"/>
                <w:sz w:val="28"/>
                <w:szCs w:val="28"/>
                <w:highlight w:val="none"/>
              </w:rPr>
            </w:pPr>
            <w:bookmarkStart w:id="126" w:name="_Toc17299"/>
            <w:bookmarkEnd w:id="126"/>
            <w:bookmarkStart w:id="127" w:name="_Toc27407"/>
            <w:bookmarkEnd w:id="127"/>
            <w:bookmarkStart w:id="128" w:name="_Toc27986"/>
            <w:bookmarkEnd w:id="128"/>
            <w:bookmarkStart w:id="129" w:name="_Toc447"/>
            <w:bookmarkEnd w:id="129"/>
            <w:bookmarkStart w:id="130" w:name="_Toc26661"/>
            <w:bookmarkEnd w:id="130"/>
            <w:bookmarkStart w:id="131" w:name="_Toc13829"/>
            <w:bookmarkEnd w:id="131"/>
            <w:bookmarkStart w:id="132" w:name="_Toc10556"/>
            <w:bookmarkEnd w:id="132"/>
            <w:bookmarkStart w:id="133" w:name="_Toc24367"/>
            <w:bookmarkEnd w:id="133"/>
            <w:bookmarkStart w:id="134" w:name="_Toc143448931"/>
            <w:bookmarkStart w:id="135" w:name="_Toc31787"/>
            <w:bookmarkStart w:id="136" w:name="_Toc25500"/>
            <w:bookmarkStart w:id="137" w:name="_Toc143449653"/>
            <w:bookmarkStart w:id="138" w:name="_Toc144968964"/>
            <w:r>
              <w:rPr>
                <w:rFonts w:ascii="仿宋" w:hAnsi="仿宋" w:eastAsia="仿宋" w:cs="仿宋"/>
                <w:b w:val="0"/>
                <w:color w:val="auto"/>
                <w:sz w:val="28"/>
                <w:szCs w:val="28"/>
                <w:highlight w:val="none"/>
              </w:rPr>
              <w:t>资金来源</w:t>
            </w:r>
            <w:bookmarkEnd w:id="134"/>
            <w:bookmarkEnd w:id="135"/>
            <w:bookmarkEnd w:id="136"/>
            <w:bookmarkEnd w:id="137"/>
            <w:bookmarkEnd w:id="13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C27E">
            <w:pPr>
              <w:pStyle w:val="2"/>
              <w:spacing w:line="380" w:lineRule="exact"/>
              <w:jc w:val="both"/>
              <w:rPr>
                <w:rFonts w:hint="default" w:ascii="仿宋" w:hAnsi="仿宋" w:eastAsia="仿宋" w:cs="仿宋"/>
                <w:b w:val="0"/>
                <w:color w:val="auto"/>
                <w:sz w:val="28"/>
                <w:szCs w:val="28"/>
                <w:highlight w:val="none"/>
                <w:lang w:val="en-US" w:eastAsia="zh-CN"/>
              </w:rPr>
            </w:pPr>
            <w:bookmarkStart w:id="139" w:name="_Toc18480"/>
            <w:bookmarkEnd w:id="139"/>
            <w:bookmarkStart w:id="140" w:name="_Toc8464"/>
            <w:bookmarkEnd w:id="140"/>
            <w:bookmarkStart w:id="141" w:name="_Toc13876"/>
            <w:bookmarkEnd w:id="141"/>
            <w:bookmarkStart w:id="142" w:name="_Toc981"/>
            <w:bookmarkEnd w:id="142"/>
            <w:bookmarkStart w:id="143" w:name="_Toc29513"/>
            <w:bookmarkStart w:id="144" w:name="_Toc21922"/>
            <w:bookmarkStart w:id="145" w:name="_Toc143448932"/>
            <w:bookmarkStart w:id="146" w:name="_Toc143449654"/>
            <w:bookmarkStart w:id="147" w:name="_Toc144968965"/>
            <w:r>
              <w:rPr>
                <w:rFonts w:ascii="仿宋" w:hAnsi="仿宋" w:eastAsia="仿宋" w:cs="仿宋"/>
                <w:b w:val="0"/>
                <w:color w:val="auto"/>
                <w:sz w:val="28"/>
                <w:szCs w:val="28"/>
                <w:highlight w:val="none"/>
              </w:rPr>
              <w:t>□财政资金</w:t>
            </w:r>
            <w:bookmarkEnd w:id="143"/>
            <w:bookmarkEnd w:id="144"/>
            <w:r>
              <w:rPr>
                <w:rFonts w:ascii="仿宋" w:hAnsi="仿宋" w:eastAsia="仿宋" w:cs="仿宋"/>
                <w:b w:val="0"/>
                <w:color w:val="auto"/>
                <w:sz w:val="28"/>
                <w:szCs w:val="28"/>
                <w:highlight w:val="none"/>
              </w:rPr>
              <w:t xml:space="preserve">  □预采购 </w:t>
            </w:r>
            <w:r>
              <w:rPr>
                <w:rFonts w:hint="eastAsia" w:ascii="仿宋" w:hAnsi="仿宋" w:eastAsia="仿宋" w:cs="仿宋"/>
                <w:b w:val="0"/>
                <w:color w:val="auto"/>
                <w:sz w:val="28"/>
                <w:szCs w:val="28"/>
                <w:highlight w:val="none"/>
                <w:lang w:eastAsia="zh-CN"/>
              </w:rPr>
              <w:t>☑</w:t>
            </w:r>
            <w:bookmarkEnd w:id="145"/>
            <w:bookmarkEnd w:id="146"/>
            <w:bookmarkEnd w:id="147"/>
            <w:r>
              <w:rPr>
                <w:rFonts w:hint="eastAsia" w:ascii="仿宋" w:hAnsi="仿宋" w:eastAsia="仿宋" w:cs="仿宋"/>
                <w:b w:val="0"/>
                <w:color w:val="auto"/>
                <w:sz w:val="28"/>
                <w:szCs w:val="28"/>
                <w:highlight w:val="none"/>
                <w:lang w:val="en-US" w:eastAsia="zh-CN"/>
              </w:rPr>
              <w:t>自筹资金</w:t>
            </w:r>
          </w:p>
        </w:tc>
      </w:tr>
      <w:tr w14:paraId="2F96FAE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B955727">
            <w:pPr>
              <w:spacing w:line="380" w:lineRule="exact"/>
              <w:jc w:val="center"/>
              <w:outlineLvl w:val="0"/>
              <w:rPr>
                <w:rFonts w:ascii="仿宋" w:hAnsi="仿宋" w:eastAsia="仿宋" w:cs="仿宋"/>
                <w:color w:val="auto"/>
                <w:kern w:val="0"/>
                <w:sz w:val="28"/>
                <w:szCs w:val="28"/>
                <w:highlight w:val="none"/>
              </w:rPr>
            </w:pPr>
            <w:bookmarkStart w:id="148" w:name="_Toc143449655"/>
            <w:bookmarkStart w:id="149" w:name="_Toc143448933"/>
            <w:bookmarkStart w:id="150" w:name="_Toc144968966"/>
            <w:r>
              <w:rPr>
                <w:rFonts w:hint="eastAsia" w:ascii="仿宋" w:hAnsi="仿宋" w:eastAsia="仿宋" w:cs="仿宋"/>
                <w:color w:val="auto"/>
                <w:kern w:val="0"/>
                <w:sz w:val="28"/>
                <w:szCs w:val="28"/>
                <w:highlight w:val="none"/>
              </w:rPr>
              <w:t>8</w:t>
            </w:r>
            <w:bookmarkEnd w:id="148"/>
            <w:bookmarkEnd w:id="149"/>
            <w:bookmarkEnd w:id="15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C12">
            <w:pPr>
              <w:pStyle w:val="2"/>
              <w:spacing w:line="380" w:lineRule="exact"/>
              <w:jc w:val="center"/>
              <w:rPr>
                <w:rFonts w:hint="default" w:ascii="仿宋" w:hAnsi="仿宋" w:eastAsia="仿宋" w:cs="仿宋"/>
                <w:b w:val="0"/>
                <w:color w:val="auto"/>
                <w:sz w:val="28"/>
                <w:szCs w:val="28"/>
                <w:highlight w:val="none"/>
              </w:rPr>
            </w:pPr>
            <w:bookmarkStart w:id="151" w:name="_Toc25714"/>
            <w:bookmarkEnd w:id="151"/>
            <w:bookmarkStart w:id="152" w:name="_Toc18419"/>
            <w:bookmarkEnd w:id="152"/>
            <w:bookmarkStart w:id="153" w:name="_Toc9388"/>
            <w:bookmarkEnd w:id="153"/>
            <w:bookmarkStart w:id="154" w:name="_Toc15071"/>
            <w:bookmarkEnd w:id="154"/>
            <w:bookmarkStart w:id="155" w:name="_Toc32670"/>
            <w:bookmarkEnd w:id="155"/>
            <w:bookmarkStart w:id="156" w:name="_Toc21061"/>
            <w:bookmarkEnd w:id="156"/>
            <w:bookmarkStart w:id="157" w:name="_Toc24807"/>
            <w:bookmarkEnd w:id="157"/>
            <w:bookmarkStart w:id="158" w:name="_Toc8929"/>
            <w:bookmarkEnd w:id="158"/>
            <w:bookmarkStart w:id="159" w:name="_Toc12049"/>
            <w:bookmarkEnd w:id="159"/>
            <w:bookmarkStart w:id="160" w:name="_Toc1343"/>
            <w:bookmarkEnd w:id="160"/>
            <w:bookmarkStart w:id="161" w:name="_Toc2735"/>
            <w:bookmarkEnd w:id="161"/>
            <w:bookmarkStart w:id="162" w:name="_Toc4528"/>
            <w:bookmarkEnd w:id="162"/>
            <w:bookmarkStart w:id="163" w:name="_Toc9402"/>
            <w:bookmarkStart w:id="164" w:name="_Toc144968967"/>
            <w:bookmarkStart w:id="165" w:name="_Toc172"/>
            <w:bookmarkStart w:id="166" w:name="_Toc143449656"/>
            <w:bookmarkStart w:id="167" w:name="_Toc143448934"/>
            <w:r>
              <w:rPr>
                <w:rFonts w:ascii="仿宋" w:hAnsi="仿宋" w:eastAsia="仿宋" w:cs="仿宋"/>
                <w:b w:val="0"/>
                <w:color w:val="auto"/>
                <w:sz w:val="28"/>
                <w:szCs w:val="28"/>
                <w:highlight w:val="none"/>
              </w:rPr>
              <w:t>采购范围</w:t>
            </w:r>
            <w:bookmarkEnd w:id="163"/>
            <w:bookmarkEnd w:id="164"/>
            <w:bookmarkEnd w:id="165"/>
            <w:bookmarkEnd w:id="166"/>
            <w:bookmarkEnd w:id="167"/>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ABFB">
            <w:pPr>
              <w:pStyle w:val="2"/>
              <w:spacing w:line="380" w:lineRule="exact"/>
              <w:jc w:val="both"/>
              <w:rPr>
                <w:rFonts w:hint="default" w:ascii="仿宋" w:hAnsi="仿宋" w:eastAsia="仿宋" w:cs="仿宋"/>
                <w:b w:val="0"/>
                <w:color w:val="auto"/>
                <w:sz w:val="28"/>
                <w:szCs w:val="28"/>
                <w:highlight w:val="none"/>
              </w:rPr>
            </w:pPr>
            <w:bookmarkStart w:id="168" w:name="_Toc32573"/>
            <w:bookmarkEnd w:id="168"/>
            <w:bookmarkStart w:id="169" w:name="_Toc14235"/>
            <w:bookmarkEnd w:id="169"/>
            <w:bookmarkStart w:id="170" w:name="_Toc30579"/>
            <w:bookmarkEnd w:id="170"/>
            <w:bookmarkStart w:id="171" w:name="_Toc12454"/>
            <w:bookmarkEnd w:id="171"/>
            <w:bookmarkStart w:id="172" w:name="_Toc7567"/>
            <w:bookmarkStart w:id="173" w:name="_Toc143448935"/>
            <w:bookmarkStart w:id="174" w:name="_Toc8206"/>
            <w:bookmarkStart w:id="175" w:name="_Toc143449657"/>
            <w:bookmarkStart w:id="176" w:name="_Toc144968968"/>
            <w:r>
              <w:rPr>
                <w:rFonts w:ascii="仿宋" w:hAnsi="仿宋" w:eastAsia="仿宋" w:cs="仿宋"/>
                <w:b w:val="0"/>
                <w:color w:val="auto"/>
                <w:sz w:val="28"/>
                <w:szCs w:val="28"/>
                <w:highlight w:val="none"/>
              </w:rPr>
              <w:t>详见采购需求答疑文件等全部内容</w:t>
            </w:r>
            <w:bookmarkEnd w:id="172"/>
            <w:bookmarkEnd w:id="173"/>
            <w:bookmarkEnd w:id="174"/>
            <w:bookmarkEnd w:id="175"/>
            <w:bookmarkEnd w:id="176"/>
          </w:p>
        </w:tc>
      </w:tr>
      <w:tr w14:paraId="0EDCB6F0">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833A666">
            <w:pPr>
              <w:spacing w:line="380" w:lineRule="exact"/>
              <w:jc w:val="center"/>
              <w:outlineLvl w:val="0"/>
              <w:rPr>
                <w:rFonts w:ascii="仿宋" w:hAnsi="仿宋" w:eastAsia="仿宋" w:cs="仿宋"/>
                <w:color w:val="auto"/>
                <w:kern w:val="0"/>
                <w:sz w:val="28"/>
                <w:szCs w:val="28"/>
                <w:highlight w:val="none"/>
              </w:rPr>
            </w:pPr>
            <w:bookmarkStart w:id="177" w:name="_Toc143448936"/>
            <w:bookmarkStart w:id="178" w:name="_Toc144968969"/>
            <w:bookmarkStart w:id="179" w:name="_Toc143449658"/>
            <w:r>
              <w:rPr>
                <w:rFonts w:hint="eastAsia" w:ascii="仿宋" w:hAnsi="仿宋" w:eastAsia="仿宋" w:cs="仿宋"/>
                <w:color w:val="auto"/>
                <w:kern w:val="0"/>
                <w:sz w:val="28"/>
                <w:szCs w:val="28"/>
                <w:highlight w:val="none"/>
              </w:rPr>
              <w:t>9</w:t>
            </w:r>
            <w:bookmarkEnd w:id="177"/>
            <w:bookmarkEnd w:id="178"/>
            <w:bookmarkEnd w:id="179"/>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13D">
            <w:pPr>
              <w:pStyle w:val="2"/>
              <w:spacing w:line="380" w:lineRule="exact"/>
              <w:jc w:val="center"/>
              <w:rPr>
                <w:rFonts w:hint="default" w:ascii="仿宋" w:hAnsi="仿宋" w:eastAsia="仿宋" w:cs="仿宋"/>
                <w:b w:val="0"/>
                <w:color w:val="auto"/>
                <w:sz w:val="28"/>
                <w:szCs w:val="28"/>
                <w:highlight w:val="none"/>
              </w:rPr>
            </w:pPr>
            <w:bookmarkStart w:id="180" w:name="_Toc28478"/>
            <w:bookmarkEnd w:id="180"/>
            <w:bookmarkStart w:id="181" w:name="_Toc18840"/>
            <w:bookmarkEnd w:id="181"/>
            <w:bookmarkStart w:id="182" w:name="_Toc3488"/>
            <w:bookmarkEnd w:id="182"/>
            <w:bookmarkStart w:id="183" w:name="_Toc15433"/>
            <w:bookmarkEnd w:id="183"/>
            <w:bookmarkStart w:id="184" w:name="_Toc20382"/>
            <w:bookmarkEnd w:id="184"/>
            <w:bookmarkStart w:id="185" w:name="_Toc3121"/>
            <w:bookmarkEnd w:id="185"/>
            <w:bookmarkStart w:id="186" w:name="_Toc18320"/>
            <w:bookmarkEnd w:id="186"/>
            <w:bookmarkStart w:id="187" w:name="_Toc21015"/>
            <w:bookmarkEnd w:id="187"/>
            <w:bookmarkStart w:id="188" w:name="_Toc28390"/>
            <w:bookmarkStart w:id="189" w:name="_Toc26350"/>
            <w:bookmarkStart w:id="190" w:name="_Toc143448937"/>
            <w:bookmarkStart w:id="191" w:name="_Toc144968970"/>
            <w:bookmarkStart w:id="192" w:name="_Toc143449659"/>
            <w:r>
              <w:rPr>
                <w:rFonts w:ascii="仿宋" w:hAnsi="仿宋" w:eastAsia="仿宋" w:cs="仿宋"/>
                <w:b w:val="0"/>
                <w:color w:val="auto"/>
                <w:sz w:val="28"/>
                <w:szCs w:val="28"/>
                <w:highlight w:val="none"/>
              </w:rPr>
              <w:t>报价要求</w:t>
            </w:r>
            <w:bookmarkEnd w:id="188"/>
            <w:bookmarkEnd w:id="189"/>
            <w:bookmarkEnd w:id="190"/>
            <w:bookmarkEnd w:id="191"/>
            <w:bookmarkEnd w:id="19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5F56">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rPr>
              <w:t>投标人的报价应包含完成采购内容所发生的一切费用及质量保修期内发生的任何缺陷修复所需的一切费用，供应商需在投标报价中综合考虑，谨慎报价。</w:t>
            </w:r>
          </w:p>
          <w:p w14:paraId="245B6523">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报价不得超过项目最高限价。</w:t>
            </w:r>
          </w:p>
          <w:p w14:paraId="2686BA60">
            <w:pPr>
              <w:spacing w:line="38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报价轮次一般为两轮，响应文件中报价为首轮报价（开启现场不公布），第二轮报价即为最后报价（如放弃二轮报价，则以首轮报价为准）。</w:t>
            </w:r>
          </w:p>
        </w:tc>
      </w:tr>
      <w:tr w14:paraId="12DD19ED">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96F90D9">
            <w:pPr>
              <w:spacing w:line="380" w:lineRule="exact"/>
              <w:jc w:val="center"/>
              <w:outlineLvl w:val="0"/>
              <w:rPr>
                <w:rFonts w:ascii="仿宋" w:hAnsi="仿宋" w:eastAsia="仿宋" w:cs="仿宋"/>
                <w:color w:val="auto"/>
                <w:kern w:val="0"/>
                <w:sz w:val="28"/>
                <w:szCs w:val="28"/>
                <w:highlight w:val="none"/>
              </w:rPr>
            </w:pPr>
            <w:bookmarkStart w:id="193" w:name="_Toc143448938"/>
            <w:bookmarkStart w:id="194" w:name="_Toc143449660"/>
            <w:bookmarkStart w:id="195" w:name="_Toc144968971"/>
            <w:r>
              <w:rPr>
                <w:rFonts w:hint="eastAsia" w:ascii="仿宋" w:hAnsi="仿宋" w:eastAsia="仿宋" w:cs="仿宋"/>
                <w:color w:val="auto"/>
                <w:kern w:val="0"/>
                <w:sz w:val="28"/>
                <w:szCs w:val="28"/>
                <w:highlight w:val="none"/>
              </w:rPr>
              <w:t>10</w:t>
            </w:r>
            <w:bookmarkEnd w:id="193"/>
            <w:bookmarkEnd w:id="194"/>
            <w:bookmarkEnd w:id="19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461">
            <w:pPr>
              <w:pStyle w:val="2"/>
              <w:spacing w:line="380" w:lineRule="exact"/>
              <w:ind w:firstLine="280" w:firstLineChars="100"/>
              <w:jc w:val="both"/>
              <w:rPr>
                <w:rFonts w:hint="default" w:ascii="仿宋" w:hAnsi="仿宋" w:eastAsia="仿宋" w:cs="仿宋"/>
                <w:b w:val="0"/>
                <w:color w:val="auto"/>
                <w:sz w:val="28"/>
                <w:szCs w:val="28"/>
                <w:highlight w:val="none"/>
              </w:rPr>
            </w:pPr>
            <w:bookmarkStart w:id="196" w:name="_Toc7315"/>
            <w:bookmarkEnd w:id="196"/>
            <w:bookmarkStart w:id="197" w:name="_Toc7418"/>
            <w:bookmarkEnd w:id="197"/>
            <w:bookmarkStart w:id="198" w:name="_Toc143449661"/>
            <w:bookmarkStart w:id="199" w:name="_Toc27335"/>
            <w:bookmarkStart w:id="200" w:name="_Toc143448939"/>
            <w:bookmarkStart w:id="201" w:name="_Toc144968972"/>
            <w:bookmarkStart w:id="202" w:name="_Toc19443"/>
            <w:r>
              <w:rPr>
                <w:rFonts w:ascii="仿宋" w:hAnsi="仿宋" w:eastAsia="仿宋" w:cs="仿宋"/>
                <w:b w:val="0"/>
                <w:color w:val="auto"/>
                <w:sz w:val="28"/>
                <w:szCs w:val="28"/>
                <w:highlight w:val="none"/>
              </w:rPr>
              <w:t>合同履行期限</w:t>
            </w:r>
            <w:bookmarkEnd w:id="198"/>
            <w:bookmarkEnd w:id="199"/>
            <w:bookmarkEnd w:id="200"/>
            <w:bookmarkEnd w:id="201"/>
            <w:bookmarkEnd w:id="20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9E57">
            <w:pPr>
              <w:spacing w:line="380" w:lineRule="exact"/>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60日</w:t>
            </w:r>
          </w:p>
        </w:tc>
      </w:tr>
      <w:tr w14:paraId="05078A44">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D7EF6B1">
            <w:pPr>
              <w:spacing w:line="380" w:lineRule="exact"/>
              <w:jc w:val="center"/>
              <w:outlineLvl w:val="0"/>
              <w:rPr>
                <w:rFonts w:ascii="仿宋" w:hAnsi="仿宋" w:eastAsia="仿宋" w:cs="仿宋"/>
                <w:color w:val="auto"/>
                <w:kern w:val="0"/>
                <w:sz w:val="28"/>
                <w:szCs w:val="28"/>
                <w:highlight w:val="none"/>
              </w:rPr>
            </w:pPr>
            <w:bookmarkStart w:id="203" w:name="_Toc143448940"/>
            <w:bookmarkStart w:id="204" w:name="_Toc144968973"/>
            <w:bookmarkStart w:id="205" w:name="_Toc143449662"/>
            <w:r>
              <w:rPr>
                <w:rFonts w:hint="eastAsia" w:ascii="仿宋" w:hAnsi="仿宋" w:eastAsia="仿宋" w:cs="仿宋"/>
                <w:color w:val="auto"/>
                <w:kern w:val="0"/>
                <w:sz w:val="28"/>
                <w:szCs w:val="28"/>
                <w:highlight w:val="none"/>
              </w:rPr>
              <w:t>11</w:t>
            </w:r>
            <w:bookmarkEnd w:id="203"/>
            <w:bookmarkEnd w:id="204"/>
            <w:bookmarkEnd w:id="20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5A07">
            <w:pPr>
              <w:pStyle w:val="2"/>
              <w:spacing w:line="380" w:lineRule="exact"/>
              <w:jc w:val="center"/>
              <w:rPr>
                <w:rFonts w:hint="default" w:ascii="仿宋" w:hAnsi="仿宋" w:eastAsia="仿宋" w:cs="仿宋"/>
                <w:b w:val="0"/>
                <w:color w:val="auto"/>
                <w:sz w:val="28"/>
                <w:szCs w:val="28"/>
                <w:highlight w:val="none"/>
              </w:rPr>
            </w:pPr>
            <w:bookmarkStart w:id="206" w:name="_Toc143449663"/>
            <w:bookmarkStart w:id="207" w:name="_Toc143448941"/>
            <w:bookmarkStart w:id="208" w:name="_Toc144968974"/>
            <w:r>
              <w:rPr>
                <w:rFonts w:ascii="仿宋" w:hAnsi="仿宋" w:eastAsia="仿宋" w:cs="仿宋"/>
                <w:b w:val="0"/>
                <w:color w:val="auto"/>
                <w:sz w:val="28"/>
                <w:szCs w:val="28"/>
                <w:highlight w:val="none"/>
              </w:rPr>
              <w:t>质量要求</w:t>
            </w:r>
            <w:bookmarkEnd w:id="206"/>
            <w:bookmarkEnd w:id="207"/>
            <w:bookmarkEnd w:id="20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1B81">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lang w:bidi="ar"/>
              </w:rPr>
              <w:t>合格</w:t>
            </w:r>
          </w:p>
        </w:tc>
      </w:tr>
      <w:tr w14:paraId="3FF63F36">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776725E">
            <w:pPr>
              <w:spacing w:line="380" w:lineRule="exact"/>
              <w:jc w:val="center"/>
              <w:outlineLvl w:val="0"/>
              <w:rPr>
                <w:rFonts w:ascii="仿宋" w:hAnsi="仿宋" w:eastAsia="仿宋" w:cs="仿宋"/>
                <w:color w:val="auto"/>
                <w:kern w:val="0"/>
                <w:sz w:val="28"/>
                <w:szCs w:val="28"/>
                <w:highlight w:val="none"/>
              </w:rPr>
            </w:pPr>
            <w:bookmarkStart w:id="209" w:name="_Toc144968975"/>
            <w:bookmarkStart w:id="210" w:name="_Toc143449664"/>
            <w:bookmarkStart w:id="211" w:name="_Toc143448942"/>
            <w:r>
              <w:rPr>
                <w:rFonts w:hint="eastAsia" w:ascii="仿宋" w:hAnsi="仿宋" w:eastAsia="仿宋" w:cs="仿宋"/>
                <w:color w:val="auto"/>
                <w:kern w:val="0"/>
                <w:sz w:val="28"/>
                <w:szCs w:val="28"/>
                <w:highlight w:val="none"/>
              </w:rPr>
              <w:t>12</w:t>
            </w:r>
            <w:bookmarkEnd w:id="209"/>
            <w:bookmarkEnd w:id="210"/>
            <w:bookmarkEnd w:id="211"/>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DD66">
            <w:pPr>
              <w:pStyle w:val="2"/>
              <w:spacing w:line="380" w:lineRule="exact"/>
              <w:jc w:val="center"/>
              <w:rPr>
                <w:rFonts w:hint="default" w:ascii="仿宋" w:hAnsi="仿宋" w:eastAsia="仿宋" w:cs="仿宋"/>
                <w:b w:val="0"/>
                <w:color w:val="auto"/>
                <w:sz w:val="28"/>
                <w:szCs w:val="28"/>
                <w:highlight w:val="none"/>
              </w:rPr>
            </w:pPr>
            <w:bookmarkStart w:id="212" w:name="_Toc143448943"/>
            <w:bookmarkStart w:id="213" w:name="_Toc144968976"/>
            <w:bookmarkStart w:id="214" w:name="_Toc143449665"/>
            <w:r>
              <w:rPr>
                <w:rFonts w:ascii="仿宋" w:hAnsi="仿宋" w:eastAsia="仿宋" w:cs="仿宋"/>
                <w:b w:val="0"/>
                <w:color w:val="auto"/>
                <w:sz w:val="28"/>
                <w:szCs w:val="28"/>
                <w:highlight w:val="none"/>
              </w:rPr>
              <w:t>缺陷责任期</w:t>
            </w:r>
            <w:bookmarkEnd w:id="212"/>
            <w:bookmarkEnd w:id="213"/>
            <w:bookmarkEnd w:id="214"/>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A2BC">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lang w:bidi="ar"/>
              </w:rPr>
              <w:t>24个月</w:t>
            </w:r>
          </w:p>
        </w:tc>
      </w:tr>
      <w:tr w14:paraId="3B711B83">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35F6495">
            <w:pPr>
              <w:spacing w:line="380" w:lineRule="exact"/>
              <w:jc w:val="center"/>
              <w:outlineLvl w:val="0"/>
              <w:rPr>
                <w:rFonts w:ascii="仿宋" w:hAnsi="仿宋" w:eastAsia="仿宋" w:cs="仿宋"/>
                <w:color w:val="auto"/>
                <w:kern w:val="0"/>
                <w:sz w:val="28"/>
                <w:szCs w:val="28"/>
                <w:highlight w:val="none"/>
              </w:rPr>
            </w:pPr>
            <w:bookmarkStart w:id="215" w:name="_Toc144968977"/>
            <w:bookmarkStart w:id="216" w:name="_Toc143448944"/>
            <w:bookmarkStart w:id="217" w:name="_Toc143449666"/>
            <w:r>
              <w:rPr>
                <w:rFonts w:hint="eastAsia" w:ascii="仿宋" w:hAnsi="仿宋" w:eastAsia="仿宋" w:cs="仿宋"/>
                <w:color w:val="auto"/>
                <w:kern w:val="0"/>
                <w:sz w:val="28"/>
                <w:szCs w:val="28"/>
                <w:highlight w:val="none"/>
              </w:rPr>
              <w:t>13</w:t>
            </w:r>
            <w:bookmarkEnd w:id="215"/>
            <w:bookmarkEnd w:id="216"/>
            <w:bookmarkEnd w:id="21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DC3B">
            <w:pPr>
              <w:pStyle w:val="2"/>
              <w:spacing w:line="380" w:lineRule="exact"/>
              <w:jc w:val="center"/>
              <w:rPr>
                <w:rFonts w:hint="default" w:ascii="仿宋" w:hAnsi="仿宋" w:eastAsia="仿宋" w:cs="仿宋"/>
                <w:b w:val="0"/>
                <w:color w:val="auto"/>
                <w:sz w:val="28"/>
                <w:szCs w:val="28"/>
                <w:highlight w:val="none"/>
              </w:rPr>
            </w:pPr>
            <w:bookmarkStart w:id="218" w:name="_Toc25390"/>
            <w:bookmarkEnd w:id="218"/>
            <w:bookmarkStart w:id="219" w:name="_Toc24297"/>
            <w:bookmarkStart w:id="220" w:name="_Toc144968978"/>
            <w:bookmarkStart w:id="221" w:name="_Toc143449667"/>
            <w:bookmarkStart w:id="222" w:name="_Toc143448945"/>
            <w:bookmarkStart w:id="223" w:name="_Toc12993"/>
            <w:r>
              <w:rPr>
                <w:rFonts w:ascii="仿宋" w:hAnsi="仿宋" w:eastAsia="仿宋" w:cs="仿宋"/>
                <w:b w:val="0"/>
                <w:color w:val="auto"/>
                <w:sz w:val="28"/>
                <w:szCs w:val="28"/>
                <w:highlight w:val="none"/>
              </w:rPr>
              <w:t>供应商资质条件</w:t>
            </w:r>
            <w:bookmarkEnd w:id="219"/>
            <w:bookmarkEnd w:id="220"/>
            <w:bookmarkEnd w:id="221"/>
            <w:bookmarkEnd w:id="222"/>
            <w:bookmarkEnd w:id="223"/>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3B9D">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lang w:eastAsia="zh-CN"/>
              </w:rPr>
            </w:pPr>
            <w:bookmarkStart w:id="224" w:name="_Toc29692"/>
            <w:bookmarkEnd w:id="224"/>
            <w:r>
              <w:rPr>
                <w:rFonts w:hint="eastAsia" w:ascii="仿宋" w:hAnsi="仿宋" w:eastAsia="仿宋" w:cs="仿宋"/>
                <w:color w:val="auto"/>
                <w:sz w:val="28"/>
                <w:szCs w:val="28"/>
                <w:highlight w:val="none"/>
              </w:rPr>
              <w:t>1.满足《中华人民共和国政府采购法》第二十二条规定</w:t>
            </w:r>
            <w:r>
              <w:rPr>
                <w:rFonts w:hint="eastAsia" w:ascii="仿宋" w:hAnsi="仿宋" w:eastAsia="仿宋" w:cs="仿宋"/>
                <w:color w:val="auto"/>
                <w:sz w:val="28"/>
                <w:szCs w:val="28"/>
                <w:highlight w:val="none"/>
                <w:lang w:eastAsia="zh-CN"/>
              </w:rPr>
              <w:t>。</w:t>
            </w:r>
          </w:p>
          <w:p w14:paraId="04D3B0EE">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2.落实政府采购政策需满足的资格要求：按照财政部、工业和信息化部制定的《政府采购促进中小企业发展管理办法》，本项目为专门面向中小企业采购项目</w:t>
            </w:r>
            <w:r>
              <w:rPr>
                <w:rFonts w:hint="eastAsia" w:ascii="仿宋" w:hAnsi="仿宋" w:eastAsia="仿宋" w:cs="仿宋"/>
                <w:color w:val="auto"/>
                <w:sz w:val="28"/>
                <w:szCs w:val="28"/>
                <w:highlight w:val="none"/>
                <w:lang w:eastAsia="zh-CN"/>
              </w:rPr>
              <w:t>。</w:t>
            </w:r>
          </w:p>
          <w:p w14:paraId="0BF94349">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32BB231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应具有有效的营业执照，同时应具有建筑工程施工总承包</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级（及以上）资质及有效的安全生产许可证。</w:t>
            </w:r>
          </w:p>
          <w:p w14:paraId="789357A1">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拟派项目经理应同时具有建筑工程专业二级（及以上）注册建造师执业资格及有效的安全生产考核合格证书。</w:t>
            </w:r>
          </w:p>
        </w:tc>
      </w:tr>
      <w:tr w14:paraId="64B8B1E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A27B376">
            <w:pPr>
              <w:spacing w:line="380" w:lineRule="exact"/>
              <w:jc w:val="center"/>
              <w:outlineLvl w:val="0"/>
              <w:rPr>
                <w:rFonts w:ascii="仿宋" w:hAnsi="仿宋" w:eastAsia="仿宋" w:cs="仿宋"/>
                <w:color w:val="auto"/>
                <w:kern w:val="0"/>
                <w:sz w:val="28"/>
                <w:szCs w:val="28"/>
                <w:highlight w:val="none"/>
              </w:rPr>
            </w:pPr>
            <w:bookmarkStart w:id="225" w:name="_Toc144968979"/>
            <w:bookmarkStart w:id="226" w:name="_Toc143448946"/>
            <w:bookmarkStart w:id="227" w:name="_Toc143449668"/>
            <w:r>
              <w:rPr>
                <w:rFonts w:hint="eastAsia" w:ascii="仿宋" w:hAnsi="仿宋" w:eastAsia="仿宋" w:cs="仿宋"/>
                <w:color w:val="auto"/>
                <w:kern w:val="0"/>
                <w:sz w:val="28"/>
                <w:szCs w:val="28"/>
                <w:highlight w:val="none"/>
              </w:rPr>
              <w:t>14</w:t>
            </w:r>
            <w:bookmarkEnd w:id="225"/>
            <w:bookmarkEnd w:id="226"/>
            <w:bookmarkEnd w:id="22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ACD">
            <w:pPr>
              <w:pStyle w:val="2"/>
              <w:spacing w:line="380" w:lineRule="exact"/>
              <w:jc w:val="center"/>
              <w:rPr>
                <w:rFonts w:hint="default" w:ascii="仿宋" w:hAnsi="仿宋" w:eastAsia="仿宋" w:cs="仿宋"/>
                <w:b w:val="0"/>
                <w:color w:val="auto"/>
                <w:sz w:val="28"/>
                <w:szCs w:val="28"/>
                <w:highlight w:val="none"/>
              </w:rPr>
            </w:pPr>
            <w:bookmarkStart w:id="228" w:name="_Toc32544"/>
            <w:bookmarkEnd w:id="228"/>
            <w:bookmarkStart w:id="229" w:name="_Toc12253"/>
            <w:bookmarkStart w:id="230" w:name="_Toc143449669"/>
            <w:bookmarkStart w:id="231" w:name="_Toc143448947"/>
            <w:bookmarkStart w:id="232" w:name="_Toc21946"/>
            <w:bookmarkStart w:id="233" w:name="_Toc144968980"/>
            <w:r>
              <w:rPr>
                <w:rFonts w:ascii="仿宋" w:hAnsi="仿宋" w:eastAsia="仿宋" w:cs="仿宋"/>
                <w:b w:val="0"/>
                <w:color w:val="auto"/>
                <w:sz w:val="28"/>
                <w:szCs w:val="28"/>
                <w:highlight w:val="none"/>
              </w:rPr>
              <w:t>踏勘现场</w:t>
            </w:r>
            <w:bookmarkEnd w:id="229"/>
            <w:bookmarkEnd w:id="230"/>
            <w:bookmarkEnd w:id="231"/>
            <w:bookmarkEnd w:id="232"/>
            <w:bookmarkEnd w:id="233"/>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D70">
            <w:pPr>
              <w:pStyle w:val="2"/>
              <w:spacing w:line="380" w:lineRule="exact"/>
              <w:jc w:val="both"/>
              <w:rPr>
                <w:rFonts w:hint="default" w:ascii="仿宋" w:hAnsi="仿宋" w:eastAsia="仿宋" w:cs="仿宋"/>
                <w:b w:val="0"/>
                <w:color w:val="auto"/>
                <w:sz w:val="28"/>
                <w:szCs w:val="28"/>
                <w:highlight w:val="none"/>
              </w:rPr>
            </w:pPr>
            <w:bookmarkStart w:id="234" w:name="_Toc8346"/>
            <w:bookmarkEnd w:id="234"/>
            <w:bookmarkStart w:id="235" w:name="_Toc143448948"/>
            <w:bookmarkStart w:id="236" w:name="_Toc144968981"/>
            <w:bookmarkStart w:id="237" w:name="_Toc143449670"/>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不组织，供应商自行考察   □统一组织</w:t>
            </w:r>
            <w:bookmarkEnd w:id="235"/>
            <w:bookmarkEnd w:id="236"/>
            <w:bookmarkEnd w:id="237"/>
          </w:p>
          <w:p w14:paraId="23633387">
            <w:pPr>
              <w:pStyle w:val="2"/>
              <w:spacing w:line="380" w:lineRule="exact"/>
              <w:jc w:val="both"/>
              <w:rPr>
                <w:rFonts w:hint="default" w:ascii="仿宋" w:hAnsi="仿宋" w:eastAsia="仿宋" w:cs="仿宋"/>
                <w:b w:val="0"/>
                <w:color w:val="auto"/>
                <w:sz w:val="28"/>
                <w:szCs w:val="28"/>
                <w:highlight w:val="none"/>
              </w:rPr>
            </w:pPr>
            <w:bookmarkStart w:id="238" w:name="_Toc143449671"/>
            <w:bookmarkStart w:id="239" w:name="_Toc143448949"/>
            <w:bookmarkStart w:id="240" w:name="_Toc144968982"/>
            <w:r>
              <w:rPr>
                <w:rFonts w:ascii="仿宋" w:hAnsi="仿宋" w:eastAsia="仿宋" w:cs="仿宋"/>
                <w:b w:val="0"/>
                <w:color w:val="auto"/>
                <w:sz w:val="28"/>
                <w:szCs w:val="28"/>
                <w:highlight w:val="none"/>
              </w:rPr>
              <w:t>时间：</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年</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月</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日</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 xml:space="preserve"> 时</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分</w:t>
            </w:r>
            <w:bookmarkEnd w:id="238"/>
            <w:bookmarkEnd w:id="239"/>
            <w:bookmarkEnd w:id="240"/>
          </w:p>
          <w:p w14:paraId="056C38F7">
            <w:pPr>
              <w:pStyle w:val="2"/>
              <w:spacing w:line="380" w:lineRule="exact"/>
              <w:jc w:val="both"/>
              <w:rPr>
                <w:rFonts w:hint="default" w:ascii="仿宋" w:hAnsi="仿宋" w:eastAsia="仿宋" w:cs="仿宋"/>
                <w:b w:val="0"/>
                <w:color w:val="auto"/>
                <w:sz w:val="28"/>
                <w:szCs w:val="28"/>
                <w:highlight w:val="none"/>
              </w:rPr>
            </w:pPr>
            <w:bookmarkStart w:id="241" w:name="_Toc144968983"/>
            <w:bookmarkStart w:id="242" w:name="_Toc143449672"/>
            <w:bookmarkStart w:id="243" w:name="_Toc143448950"/>
            <w:r>
              <w:rPr>
                <w:rFonts w:ascii="仿宋" w:hAnsi="仿宋" w:eastAsia="仿宋" w:cs="仿宋"/>
                <w:b w:val="0"/>
                <w:color w:val="auto"/>
                <w:sz w:val="28"/>
                <w:szCs w:val="28"/>
                <w:highlight w:val="none"/>
              </w:rPr>
              <w:t>地点：</w:t>
            </w:r>
            <w:r>
              <w:rPr>
                <w:rFonts w:ascii="仿宋" w:hAnsi="仿宋" w:eastAsia="仿宋" w:cs="仿宋"/>
                <w:color w:val="auto"/>
                <w:sz w:val="28"/>
                <w:szCs w:val="28"/>
                <w:highlight w:val="none"/>
                <w:lang w:bidi="ar"/>
              </w:rPr>
              <w:t>xxxx xxxx xxxx xxxx xxxx</w:t>
            </w:r>
            <w:bookmarkEnd w:id="241"/>
            <w:bookmarkEnd w:id="242"/>
            <w:bookmarkEnd w:id="243"/>
          </w:p>
          <w:p w14:paraId="1D5DAC7D">
            <w:pPr>
              <w:pStyle w:val="2"/>
              <w:spacing w:line="380" w:lineRule="exact"/>
              <w:jc w:val="both"/>
              <w:rPr>
                <w:rFonts w:hint="default" w:ascii="仿宋" w:hAnsi="仿宋" w:eastAsia="仿宋" w:cs="仿宋"/>
                <w:b w:val="0"/>
                <w:color w:val="auto"/>
                <w:sz w:val="28"/>
                <w:szCs w:val="28"/>
                <w:highlight w:val="none"/>
              </w:rPr>
            </w:pPr>
            <w:bookmarkStart w:id="244" w:name="_Toc143448951"/>
            <w:bookmarkStart w:id="245" w:name="_Toc144968984"/>
            <w:bookmarkStart w:id="246" w:name="_Toc143449673"/>
            <w:r>
              <w:rPr>
                <w:rFonts w:ascii="仿宋" w:hAnsi="仿宋" w:eastAsia="仿宋" w:cs="仿宋"/>
                <w:b w:val="0"/>
                <w:color w:val="auto"/>
                <w:sz w:val="28"/>
                <w:szCs w:val="28"/>
                <w:highlight w:val="none"/>
              </w:rPr>
              <w:t>现场考察联系人及联系电话：</w:t>
            </w:r>
            <w:r>
              <w:rPr>
                <w:rFonts w:ascii="仿宋" w:hAnsi="仿宋" w:eastAsia="仿宋" w:cs="仿宋"/>
                <w:color w:val="auto"/>
                <w:sz w:val="28"/>
                <w:szCs w:val="28"/>
                <w:highlight w:val="none"/>
                <w:lang w:bidi="ar"/>
              </w:rPr>
              <w:t>xxxx xxxx xxxx xxxx</w:t>
            </w:r>
            <w:bookmarkEnd w:id="244"/>
            <w:bookmarkEnd w:id="245"/>
            <w:bookmarkEnd w:id="246"/>
          </w:p>
          <w:p w14:paraId="4E6D16D2">
            <w:pPr>
              <w:pStyle w:val="2"/>
              <w:spacing w:line="380" w:lineRule="exact"/>
              <w:jc w:val="both"/>
              <w:rPr>
                <w:rFonts w:hint="default" w:ascii="仿宋" w:hAnsi="仿宋" w:eastAsia="仿宋" w:cs="仿宋"/>
                <w:b w:val="0"/>
                <w:color w:val="auto"/>
                <w:sz w:val="28"/>
                <w:szCs w:val="28"/>
                <w:highlight w:val="none"/>
              </w:rPr>
            </w:pPr>
            <w:bookmarkStart w:id="247" w:name="_Toc143448952"/>
            <w:bookmarkStart w:id="248" w:name="_Toc144968985"/>
            <w:bookmarkStart w:id="249" w:name="_Toc143449674"/>
            <w:r>
              <w:rPr>
                <w:rFonts w:ascii="仿宋" w:hAnsi="仿宋" w:eastAsia="仿宋" w:cs="仿宋"/>
                <w:b w:val="0"/>
                <w:color w:val="auto"/>
                <w:sz w:val="28"/>
                <w:szCs w:val="28"/>
                <w:highlight w:val="none"/>
              </w:rPr>
              <w:t>备注：如供应商未参加采购人统一组织的现场考察，视同放弃现场考察，由此引起的一切责任由供应商自行承担。</w:t>
            </w:r>
            <w:bookmarkEnd w:id="247"/>
            <w:bookmarkEnd w:id="248"/>
            <w:bookmarkEnd w:id="249"/>
          </w:p>
        </w:tc>
      </w:tr>
      <w:tr w14:paraId="0EBC8D51">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6C14187">
            <w:pPr>
              <w:spacing w:line="380" w:lineRule="exact"/>
              <w:jc w:val="center"/>
              <w:outlineLvl w:val="0"/>
              <w:rPr>
                <w:rFonts w:ascii="仿宋" w:hAnsi="仿宋" w:eastAsia="仿宋" w:cs="仿宋"/>
                <w:color w:val="auto"/>
                <w:kern w:val="0"/>
                <w:sz w:val="28"/>
                <w:szCs w:val="28"/>
                <w:highlight w:val="none"/>
              </w:rPr>
            </w:pPr>
            <w:bookmarkStart w:id="250" w:name="_Toc144968986"/>
            <w:bookmarkStart w:id="251" w:name="_Toc143448953"/>
            <w:bookmarkStart w:id="252" w:name="_Toc143449675"/>
            <w:r>
              <w:rPr>
                <w:rFonts w:hint="eastAsia" w:ascii="仿宋" w:hAnsi="仿宋" w:eastAsia="仿宋" w:cs="仿宋"/>
                <w:color w:val="auto"/>
                <w:kern w:val="0"/>
                <w:sz w:val="28"/>
                <w:szCs w:val="28"/>
                <w:highlight w:val="none"/>
              </w:rPr>
              <w:t>15</w:t>
            </w:r>
            <w:bookmarkEnd w:id="250"/>
            <w:bookmarkEnd w:id="251"/>
            <w:bookmarkEnd w:id="25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9DD5">
            <w:pPr>
              <w:pStyle w:val="2"/>
              <w:spacing w:line="380" w:lineRule="exact"/>
              <w:jc w:val="center"/>
              <w:rPr>
                <w:rFonts w:hint="default" w:ascii="仿宋" w:hAnsi="仿宋" w:eastAsia="仿宋" w:cs="仿宋"/>
                <w:b w:val="0"/>
                <w:color w:val="auto"/>
                <w:sz w:val="28"/>
                <w:szCs w:val="28"/>
                <w:highlight w:val="none"/>
              </w:rPr>
            </w:pPr>
            <w:bookmarkStart w:id="253" w:name="_Toc29045"/>
            <w:bookmarkEnd w:id="253"/>
            <w:bookmarkStart w:id="254" w:name="_Toc144968987"/>
            <w:bookmarkStart w:id="255" w:name="_Toc143449676"/>
            <w:bookmarkStart w:id="256" w:name="_Toc9594"/>
            <w:bookmarkStart w:id="257" w:name="_Toc143448954"/>
            <w:bookmarkStart w:id="258" w:name="_Toc4877"/>
            <w:r>
              <w:rPr>
                <w:rFonts w:ascii="仿宋" w:hAnsi="仿宋" w:eastAsia="仿宋" w:cs="仿宋"/>
                <w:b w:val="0"/>
                <w:color w:val="auto"/>
                <w:sz w:val="28"/>
                <w:szCs w:val="28"/>
                <w:highlight w:val="none"/>
              </w:rPr>
              <w:t>磋商预备会</w:t>
            </w:r>
            <w:bookmarkEnd w:id="254"/>
            <w:bookmarkEnd w:id="255"/>
            <w:bookmarkEnd w:id="256"/>
            <w:bookmarkEnd w:id="257"/>
            <w:bookmarkEnd w:id="25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E8D7">
            <w:pPr>
              <w:pStyle w:val="2"/>
              <w:spacing w:line="380" w:lineRule="exact"/>
              <w:jc w:val="both"/>
              <w:rPr>
                <w:rFonts w:hint="default" w:ascii="仿宋" w:hAnsi="仿宋" w:eastAsia="仿宋" w:cs="仿宋"/>
                <w:b w:val="0"/>
                <w:color w:val="auto"/>
                <w:sz w:val="28"/>
                <w:szCs w:val="28"/>
                <w:highlight w:val="none"/>
              </w:rPr>
            </w:pPr>
            <w:bookmarkStart w:id="259" w:name="_Toc11268"/>
            <w:bookmarkEnd w:id="259"/>
            <w:bookmarkStart w:id="260" w:name="_Toc198"/>
            <w:bookmarkStart w:id="261" w:name="_Toc143449677"/>
            <w:bookmarkStart w:id="262" w:name="_Toc144968988"/>
            <w:bookmarkStart w:id="263" w:name="_Toc143448955"/>
            <w:bookmarkStart w:id="264" w:name="_Toc14514"/>
            <w:r>
              <w:rPr>
                <w:rFonts w:ascii="仿宋" w:hAnsi="仿宋" w:eastAsia="仿宋" w:cs="仿宋"/>
                <w:b w:val="0"/>
                <w:color w:val="auto"/>
                <w:sz w:val="28"/>
                <w:szCs w:val="28"/>
                <w:highlight w:val="none"/>
              </w:rPr>
              <w:t>不召开</w:t>
            </w:r>
            <w:bookmarkEnd w:id="260"/>
            <w:bookmarkEnd w:id="261"/>
            <w:bookmarkEnd w:id="262"/>
            <w:bookmarkEnd w:id="263"/>
            <w:bookmarkEnd w:id="264"/>
          </w:p>
        </w:tc>
      </w:tr>
      <w:tr w14:paraId="01F3B7B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116E075">
            <w:pPr>
              <w:spacing w:line="380" w:lineRule="exact"/>
              <w:jc w:val="center"/>
              <w:outlineLvl w:val="0"/>
              <w:rPr>
                <w:rFonts w:ascii="仿宋" w:hAnsi="仿宋" w:eastAsia="仿宋" w:cs="仿宋"/>
                <w:color w:val="auto"/>
                <w:kern w:val="0"/>
                <w:sz w:val="28"/>
                <w:szCs w:val="28"/>
                <w:highlight w:val="none"/>
              </w:rPr>
            </w:pPr>
            <w:bookmarkStart w:id="265" w:name="_Toc143448956"/>
            <w:bookmarkStart w:id="266" w:name="_Toc144968989"/>
            <w:bookmarkStart w:id="267" w:name="_Toc143449678"/>
            <w:r>
              <w:rPr>
                <w:rFonts w:hint="eastAsia" w:ascii="仿宋" w:hAnsi="仿宋" w:eastAsia="仿宋" w:cs="仿宋"/>
                <w:color w:val="auto"/>
                <w:kern w:val="0"/>
                <w:sz w:val="28"/>
                <w:szCs w:val="28"/>
                <w:highlight w:val="none"/>
              </w:rPr>
              <w:t>16</w:t>
            </w:r>
            <w:bookmarkEnd w:id="265"/>
            <w:bookmarkEnd w:id="266"/>
            <w:bookmarkEnd w:id="26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3D8">
            <w:pPr>
              <w:pStyle w:val="2"/>
              <w:spacing w:line="380" w:lineRule="exact"/>
              <w:jc w:val="center"/>
              <w:rPr>
                <w:rFonts w:hint="default" w:ascii="仿宋" w:hAnsi="仿宋" w:eastAsia="仿宋" w:cs="仿宋"/>
                <w:b w:val="0"/>
                <w:color w:val="auto"/>
                <w:sz w:val="28"/>
                <w:szCs w:val="28"/>
                <w:highlight w:val="none"/>
              </w:rPr>
            </w:pPr>
            <w:bookmarkStart w:id="268" w:name="_Toc143448957"/>
            <w:bookmarkStart w:id="269" w:name="_Toc144968990"/>
            <w:bookmarkStart w:id="270" w:name="_Toc143449679"/>
            <w:r>
              <w:rPr>
                <w:rFonts w:ascii="仿宋" w:hAnsi="仿宋" w:eastAsia="仿宋" w:cs="仿宋"/>
                <w:b w:val="0"/>
                <w:color w:val="auto"/>
                <w:sz w:val="28"/>
                <w:szCs w:val="28"/>
                <w:highlight w:val="none"/>
              </w:rPr>
              <w:t>磋商有效期</w:t>
            </w:r>
            <w:bookmarkEnd w:id="268"/>
            <w:bookmarkEnd w:id="269"/>
            <w:bookmarkEnd w:id="270"/>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36F5">
            <w:pPr>
              <w:pStyle w:val="2"/>
              <w:spacing w:line="380" w:lineRule="exact"/>
              <w:jc w:val="both"/>
              <w:rPr>
                <w:rFonts w:hint="default" w:ascii="仿宋" w:hAnsi="仿宋" w:eastAsia="仿宋" w:cs="仿宋"/>
                <w:b w:val="0"/>
                <w:color w:val="auto"/>
                <w:sz w:val="28"/>
                <w:szCs w:val="28"/>
                <w:highlight w:val="none"/>
              </w:rPr>
            </w:pPr>
            <w:bookmarkStart w:id="271" w:name="_Toc144968991"/>
            <w:bookmarkStart w:id="272" w:name="_Toc143448958"/>
            <w:bookmarkStart w:id="273" w:name="_Toc143449680"/>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60</w:t>
            </w:r>
            <w:r>
              <w:rPr>
                <w:rFonts w:ascii="仿宋" w:hAnsi="仿宋" w:eastAsia="仿宋" w:cs="仿宋"/>
                <w:b w:val="0"/>
                <w:color w:val="auto"/>
                <w:sz w:val="28"/>
                <w:szCs w:val="28"/>
                <w:highlight w:val="none"/>
              </w:rPr>
              <w:t>日</w:t>
            </w:r>
            <w:bookmarkEnd w:id="271"/>
            <w:bookmarkEnd w:id="272"/>
            <w:bookmarkEnd w:id="273"/>
          </w:p>
        </w:tc>
      </w:tr>
      <w:tr w14:paraId="45CB7E5C">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309F9F3">
            <w:pPr>
              <w:spacing w:line="380" w:lineRule="exact"/>
              <w:jc w:val="center"/>
              <w:outlineLvl w:val="0"/>
              <w:rPr>
                <w:rFonts w:ascii="仿宋" w:hAnsi="仿宋" w:eastAsia="仿宋" w:cs="仿宋"/>
                <w:color w:val="auto"/>
                <w:kern w:val="0"/>
                <w:sz w:val="28"/>
                <w:szCs w:val="28"/>
                <w:highlight w:val="none"/>
              </w:rPr>
            </w:pPr>
            <w:bookmarkStart w:id="274" w:name="_Toc143448959"/>
            <w:bookmarkStart w:id="275" w:name="_Toc144968992"/>
            <w:bookmarkStart w:id="276" w:name="_Toc143449681"/>
            <w:r>
              <w:rPr>
                <w:rFonts w:hint="eastAsia" w:ascii="仿宋" w:hAnsi="仿宋" w:eastAsia="仿宋" w:cs="仿宋"/>
                <w:color w:val="auto"/>
                <w:kern w:val="0"/>
                <w:sz w:val="28"/>
                <w:szCs w:val="28"/>
                <w:highlight w:val="none"/>
              </w:rPr>
              <w:t>17</w:t>
            </w:r>
            <w:bookmarkEnd w:id="274"/>
            <w:bookmarkEnd w:id="275"/>
            <w:bookmarkEnd w:id="27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E472">
            <w:pPr>
              <w:pStyle w:val="2"/>
              <w:spacing w:line="380" w:lineRule="exact"/>
              <w:jc w:val="center"/>
              <w:rPr>
                <w:rFonts w:hint="default" w:ascii="仿宋" w:hAnsi="仿宋" w:eastAsia="仿宋" w:cs="仿宋"/>
                <w:b w:val="0"/>
                <w:color w:val="auto"/>
                <w:sz w:val="28"/>
                <w:szCs w:val="28"/>
                <w:highlight w:val="none"/>
              </w:rPr>
            </w:pPr>
            <w:bookmarkStart w:id="277" w:name="_Toc143448960"/>
            <w:bookmarkStart w:id="278" w:name="_Toc144968993"/>
            <w:bookmarkStart w:id="279" w:name="_Toc143449682"/>
            <w:r>
              <w:rPr>
                <w:rFonts w:ascii="仿宋" w:hAnsi="仿宋" w:eastAsia="仿宋" w:cs="仿宋"/>
                <w:b w:val="0"/>
                <w:color w:val="auto"/>
                <w:sz w:val="28"/>
                <w:szCs w:val="28"/>
                <w:highlight w:val="none"/>
              </w:rPr>
              <w:t>磋商保证金</w:t>
            </w:r>
            <w:bookmarkEnd w:id="277"/>
            <w:bookmarkEnd w:id="278"/>
            <w:bookmarkEnd w:id="27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ABB">
            <w:pPr>
              <w:spacing w:line="38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见磋商公告</w:t>
            </w:r>
          </w:p>
        </w:tc>
      </w:tr>
      <w:tr w14:paraId="1EE7BE5E">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62DAF05">
            <w:pPr>
              <w:spacing w:line="380" w:lineRule="exact"/>
              <w:jc w:val="center"/>
              <w:outlineLvl w:val="0"/>
              <w:rPr>
                <w:rFonts w:ascii="仿宋" w:hAnsi="仿宋" w:eastAsia="仿宋" w:cs="仿宋"/>
                <w:color w:val="auto"/>
                <w:kern w:val="0"/>
                <w:sz w:val="28"/>
                <w:szCs w:val="28"/>
                <w:highlight w:val="none"/>
              </w:rPr>
            </w:pPr>
            <w:bookmarkStart w:id="280" w:name="_Toc144968994"/>
            <w:bookmarkStart w:id="281" w:name="_Toc143449683"/>
            <w:bookmarkStart w:id="282" w:name="_Toc143448961"/>
            <w:r>
              <w:rPr>
                <w:rFonts w:hint="eastAsia" w:ascii="仿宋" w:hAnsi="仿宋" w:eastAsia="仿宋" w:cs="仿宋"/>
                <w:color w:val="auto"/>
                <w:kern w:val="0"/>
                <w:sz w:val="28"/>
                <w:szCs w:val="28"/>
                <w:highlight w:val="none"/>
              </w:rPr>
              <w:t>18</w:t>
            </w:r>
            <w:bookmarkEnd w:id="280"/>
            <w:bookmarkEnd w:id="281"/>
            <w:bookmarkEnd w:id="28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F82F">
            <w:pPr>
              <w:pStyle w:val="2"/>
              <w:spacing w:line="380" w:lineRule="exact"/>
              <w:jc w:val="center"/>
              <w:rPr>
                <w:rFonts w:hint="default" w:ascii="仿宋" w:hAnsi="仿宋" w:eastAsia="仿宋" w:cs="仿宋"/>
                <w:b w:val="0"/>
                <w:color w:val="auto"/>
                <w:sz w:val="28"/>
                <w:szCs w:val="28"/>
                <w:highlight w:val="none"/>
              </w:rPr>
            </w:pPr>
            <w:bookmarkStart w:id="283" w:name="_Toc1456"/>
            <w:bookmarkEnd w:id="283"/>
            <w:bookmarkStart w:id="284" w:name="_Toc15570"/>
            <w:bookmarkStart w:id="285" w:name="_Toc144968995"/>
            <w:bookmarkStart w:id="286" w:name="_Toc143448962"/>
            <w:bookmarkStart w:id="287" w:name="_Toc143449684"/>
            <w:bookmarkStart w:id="288" w:name="_Toc3755"/>
            <w:r>
              <w:rPr>
                <w:rFonts w:ascii="仿宋" w:hAnsi="仿宋" w:eastAsia="仿宋" w:cs="仿宋"/>
                <w:b w:val="0"/>
                <w:color w:val="auto"/>
                <w:sz w:val="28"/>
                <w:szCs w:val="28"/>
                <w:highlight w:val="none"/>
              </w:rPr>
              <w:t>供应商提出问题的截止时间</w:t>
            </w:r>
            <w:bookmarkEnd w:id="284"/>
            <w:bookmarkEnd w:id="285"/>
            <w:bookmarkEnd w:id="286"/>
            <w:bookmarkEnd w:id="287"/>
            <w:bookmarkEnd w:id="28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1E5F">
            <w:pPr>
              <w:pStyle w:val="2"/>
              <w:spacing w:line="380" w:lineRule="exact"/>
              <w:jc w:val="both"/>
              <w:rPr>
                <w:rFonts w:hint="default" w:ascii="仿宋" w:hAnsi="仿宋" w:eastAsia="仿宋" w:cs="仿宋"/>
                <w:b w:val="0"/>
                <w:color w:val="auto"/>
                <w:sz w:val="28"/>
                <w:szCs w:val="28"/>
                <w:highlight w:val="none"/>
              </w:rPr>
            </w:pPr>
            <w:bookmarkStart w:id="289" w:name="_Toc143449685"/>
            <w:bookmarkStart w:id="290" w:name="_Toc144968996"/>
            <w:bookmarkStart w:id="291" w:name="_Toc944"/>
            <w:bookmarkStart w:id="292" w:name="_Toc143448963"/>
            <w:bookmarkStart w:id="293" w:name="_Toc14149"/>
            <w:r>
              <w:rPr>
                <w:rFonts w:ascii="仿宋" w:hAnsi="仿宋" w:eastAsia="仿宋" w:cs="仿宋"/>
                <w:b w:val="0"/>
                <w:color w:val="auto"/>
                <w:sz w:val="28"/>
                <w:szCs w:val="28"/>
                <w:highlight w:val="none"/>
              </w:rPr>
              <w:t>响应截止时间前</w:t>
            </w:r>
            <w:bookmarkEnd w:id="289"/>
            <w:bookmarkEnd w:id="290"/>
            <w:bookmarkEnd w:id="291"/>
            <w:bookmarkEnd w:id="292"/>
            <w:bookmarkEnd w:id="293"/>
          </w:p>
        </w:tc>
      </w:tr>
      <w:tr w14:paraId="12337A2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447854AA">
            <w:pPr>
              <w:spacing w:line="380" w:lineRule="exact"/>
              <w:jc w:val="center"/>
              <w:outlineLvl w:val="0"/>
              <w:rPr>
                <w:rFonts w:ascii="仿宋" w:hAnsi="仿宋" w:eastAsia="仿宋" w:cs="仿宋"/>
                <w:color w:val="auto"/>
                <w:kern w:val="0"/>
                <w:sz w:val="28"/>
                <w:szCs w:val="28"/>
                <w:highlight w:val="none"/>
              </w:rPr>
            </w:pPr>
            <w:bookmarkStart w:id="294" w:name="_Toc144968997"/>
            <w:bookmarkStart w:id="295" w:name="_Toc143448964"/>
            <w:bookmarkStart w:id="296" w:name="_Toc143449686"/>
            <w:r>
              <w:rPr>
                <w:rFonts w:hint="eastAsia" w:ascii="仿宋" w:hAnsi="仿宋" w:eastAsia="仿宋" w:cs="仿宋"/>
                <w:color w:val="auto"/>
                <w:kern w:val="0"/>
                <w:sz w:val="28"/>
                <w:szCs w:val="28"/>
                <w:highlight w:val="none"/>
              </w:rPr>
              <w:t>19</w:t>
            </w:r>
            <w:bookmarkEnd w:id="294"/>
            <w:bookmarkEnd w:id="295"/>
            <w:bookmarkEnd w:id="296"/>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7FF0D79">
            <w:pPr>
              <w:pStyle w:val="2"/>
              <w:spacing w:line="380" w:lineRule="exact"/>
              <w:jc w:val="center"/>
              <w:rPr>
                <w:rFonts w:hint="default" w:ascii="仿宋" w:hAnsi="仿宋" w:eastAsia="仿宋" w:cs="仿宋"/>
                <w:b w:val="0"/>
                <w:color w:val="auto"/>
                <w:kern w:val="2"/>
                <w:sz w:val="28"/>
                <w:szCs w:val="28"/>
                <w:highlight w:val="none"/>
              </w:rPr>
            </w:pPr>
            <w:bookmarkStart w:id="297" w:name="_Toc27540"/>
            <w:bookmarkEnd w:id="297"/>
            <w:bookmarkStart w:id="298" w:name="_Toc18456"/>
            <w:bookmarkStart w:id="299" w:name="_Toc21657"/>
            <w:bookmarkStart w:id="300" w:name="_Toc143449687"/>
            <w:bookmarkStart w:id="301" w:name="_Toc143448965"/>
            <w:bookmarkStart w:id="302" w:name="_Toc144968998"/>
            <w:r>
              <w:rPr>
                <w:rFonts w:ascii="仿宋" w:hAnsi="仿宋" w:eastAsia="仿宋" w:cs="仿宋"/>
                <w:b w:val="0"/>
                <w:color w:val="auto"/>
                <w:kern w:val="2"/>
                <w:sz w:val="28"/>
                <w:szCs w:val="28"/>
                <w:highlight w:val="none"/>
              </w:rPr>
              <w:t>供应商提出问题的方式</w:t>
            </w:r>
            <w:bookmarkEnd w:id="298"/>
            <w:bookmarkEnd w:id="299"/>
            <w:bookmarkEnd w:id="300"/>
            <w:bookmarkEnd w:id="301"/>
            <w:bookmarkEnd w:id="302"/>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736E101">
            <w:pPr>
              <w:pStyle w:val="2"/>
              <w:spacing w:line="380" w:lineRule="exact"/>
              <w:jc w:val="both"/>
              <w:rPr>
                <w:rFonts w:hint="default" w:ascii="仿宋" w:hAnsi="仿宋" w:eastAsia="仿宋" w:cs="仿宋"/>
                <w:b w:val="0"/>
                <w:color w:val="auto"/>
                <w:kern w:val="2"/>
                <w:sz w:val="28"/>
                <w:szCs w:val="28"/>
                <w:highlight w:val="none"/>
              </w:rPr>
            </w:pPr>
            <w:bookmarkStart w:id="303" w:name="_Toc25191"/>
            <w:bookmarkEnd w:id="303"/>
            <w:r>
              <w:rPr>
                <w:rFonts w:ascii="仿宋" w:hAnsi="仿宋" w:eastAsia="仿宋" w:cs="仿宋"/>
                <w:b w:val="0"/>
                <w:color w:val="auto"/>
                <w:sz w:val="28"/>
                <w:szCs w:val="28"/>
                <w:highlight w:val="none"/>
                <w:lang w:val="en-US" w:eastAsia="zh-CN"/>
              </w:rPr>
              <w:t>投标供应商若对采购文件有任何疑问，应在响应截止时间</w:t>
            </w:r>
            <w:r>
              <w:rPr>
                <w:rFonts w:ascii="仿宋" w:hAnsi="仿宋" w:eastAsia="仿宋" w:cs="仿宋"/>
                <w:b w:val="0"/>
                <w:color w:val="auto"/>
                <w:sz w:val="28"/>
                <w:szCs w:val="28"/>
                <w:highlight w:val="none"/>
              </w:rPr>
              <w:t>前</w:t>
            </w:r>
            <w:r>
              <w:rPr>
                <w:rFonts w:hint="eastAsia" w:ascii="仿宋" w:hAnsi="仿宋" w:eastAsia="仿宋" w:cs="仿宋"/>
                <w:b w:val="0"/>
                <w:color w:val="auto"/>
                <w:sz w:val="28"/>
                <w:szCs w:val="28"/>
                <w:highlight w:val="none"/>
                <w:lang w:eastAsia="zh-CN"/>
              </w:rPr>
              <w:t>，</w:t>
            </w:r>
            <w:r>
              <w:rPr>
                <w:rFonts w:hint="eastAsia" w:ascii="仿宋" w:hAnsi="仿宋" w:eastAsia="仿宋" w:cs="仿宋"/>
                <w:b w:val="0"/>
                <w:color w:val="auto"/>
                <w:sz w:val="28"/>
                <w:szCs w:val="28"/>
                <w:highlight w:val="none"/>
                <w:lang w:val="en-US" w:eastAsia="zh-CN"/>
              </w:rPr>
              <w:t>以</w:t>
            </w:r>
            <w:r>
              <w:rPr>
                <w:rFonts w:ascii="仿宋" w:hAnsi="仿宋" w:eastAsia="仿宋" w:cs="仿宋"/>
                <w:b w:val="0"/>
                <w:color w:val="auto"/>
                <w:sz w:val="28"/>
                <w:szCs w:val="28"/>
                <w:highlight w:val="none"/>
                <w:lang w:val="en-US" w:eastAsia="zh-CN"/>
              </w:rPr>
              <w:t>书面向采购人（采购代理机构）提出，采购人（采购代理机构）收到疑问，将予以答复，投标供应商有义务自行查阅。</w:t>
            </w:r>
          </w:p>
        </w:tc>
      </w:tr>
      <w:tr w14:paraId="7DBFB7DD">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7D6D0E50">
            <w:pPr>
              <w:spacing w:line="380" w:lineRule="exact"/>
              <w:jc w:val="center"/>
              <w:outlineLvl w:val="0"/>
              <w:rPr>
                <w:rFonts w:ascii="仿宋" w:hAnsi="仿宋" w:eastAsia="仿宋" w:cs="仿宋"/>
                <w:color w:val="auto"/>
                <w:kern w:val="0"/>
                <w:sz w:val="28"/>
                <w:szCs w:val="28"/>
                <w:highlight w:val="none"/>
              </w:rPr>
            </w:pPr>
            <w:bookmarkStart w:id="304" w:name="_Toc143448967"/>
            <w:bookmarkStart w:id="305" w:name="_Toc143449689"/>
            <w:bookmarkStart w:id="306" w:name="_Toc144969000"/>
            <w:r>
              <w:rPr>
                <w:rFonts w:hint="eastAsia" w:ascii="仿宋" w:hAnsi="仿宋" w:eastAsia="仿宋" w:cs="仿宋"/>
                <w:color w:val="auto"/>
                <w:kern w:val="0"/>
                <w:sz w:val="28"/>
                <w:szCs w:val="28"/>
                <w:highlight w:val="none"/>
              </w:rPr>
              <w:t>20</w:t>
            </w:r>
            <w:bookmarkEnd w:id="304"/>
            <w:bookmarkEnd w:id="305"/>
            <w:bookmarkEnd w:id="306"/>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94265AA">
            <w:pPr>
              <w:pStyle w:val="2"/>
              <w:spacing w:line="380" w:lineRule="exact"/>
              <w:jc w:val="center"/>
              <w:rPr>
                <w:rFonts w:hint="default" w:ascii="仿宋" w:hAnsi="仿宋" w:eastAsia="仿宋" w:cs="仿宋"/>
                <w:b w:val="0"/>
                <w:color w:val="auto"/>
                <w:sz w:val="28"/>
                <w:szCs w:val="28"/>
                <w:highlight w:val="none"/>
              </w:rPr>
            </w:pPr>
            <w:bookmarkStart w:id="307" w:name="_Toc26828"/>
            <w:bookmarkStart w:id="308" w:name="_Toc143448968"/>
            <w:bookmarkStart w:id="309" w:name="_Toc144969001"/>
            <w:bookmarkStart w:id="310" w:name="_Toc29945"/>
            <w:bookmarkStart w:id="311" w:name="_Toc143449690"/>
            <w:r>
              <w:rPr>
                <w:rFonts w:ascii="仿宋" w:hAnsi="仿宋" w:eastAsia="仿宋" w:cs="仿宋"/>
                <w:b w:val="0"/>
                <w:color w:val="auto"/>
                <w:sz w:val="28"/>
                <w:szCs w:val="28"/>
                <w:highlight w:val="none"/>
              </w:rPr>
              <w:t>资格审查方式</w:t>
            </w:r>
            <w:bookmarkEnd w:id="307"/>
            <w:bookmarkEnd w:id="308"/>
            <w:bookmarkEnd w:id="309"/>
            <w:bookmarkEnd w:id="310"/>
            <w:bookmarkEnd w:id="311"/>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7620DC95">
            <w:pPr>
              <w:pStyle w:val="2"/>
              <w:spacing w:line="380" w:lineRule="exact"/>
              <w:jc w:val="both"/>
              <w:rPr>
                <w:rFonts w:hint="default" w:ascii="仿宋" w:hAnsi="仿宋" w:eastAsia="仿宋" w:cs="仿宋"/>
                <w:b w:val="0"/>
                <w:color w:val="auto"/>
                <w:kern w:val="2"/>
                <w:sz w:val="28"/>
                <w:szCs w:val="28"/>
                <w:highlight w:val="none"/>
              </w:rPr>
            </w:pPr>
            <w:bookmarkStart w:id="312" w:name="_Toc24863"/>
            <w:bookmarkStart w:id="313" w:name="_Toc9418"/>
            <w:bookmarkStart w:id="314" w:name="_Toc144969002"/>
            <w:bookmarkStart w:id="315" w:name="_Toc143448969"/>
            <w:bookmarkStart w:id="316" w:name="_Toc143449691"/>
            <w:r>
              <w:rPr>
                <w:rFonts w:ascii="仿宋" w:hAnsi="仿宋" w:eastAsia="仿宋" w:cs="仿宋"/>
                <w:b w:val="0"/>
                <w:color w:val="auto"/>
                <w:sz w:val="28"/>
                <w:szCs w:val="28"/>
                <w:highlight w:val="none"/>
              </w:rPr>
              <w:t>资格后审</w:t>
            </w:r>
            <w:bookmarkEnd w:id="312"/>
            <w:bookmarkEnd w:id="313"/>
            <w:bookmarkEnd w:id="314"/>
            <w:bookmarkEnd w:id="315"/>
            <w:bookmarkEnd w:id="316"/>
          </w:p>
        </w:tc>
      </w:tr>
      <w:tr w14:paraId="40412781">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7CD55034">
            <w:pPr>
              <w:spacing w:line="380" w:lineRule="exact"/>
              <w:jc w:val="center"/>
              <w:outlineLvl w:val="0"/>
              <w:rPr>
                <w:rFonts w:ascii="仿宋" w:hAnsi="仿宋" w:eastAsia="仿宋" w:cs="仿宋"/>
                <w:color w:val="auto"/>
                <w:kern w:val="0"/>
                <w:sz w:val="28"/>
                <w:szCs w:val="28"/>
                <w:highlight w:val="none"/>
              </w:rPr>
            </w:pPr>
            <w:bookmarkStart w:id="317" w:name="_Toc143448970"/>
            <w:bookmarkStart w:id="318" w:name="_Toc143449692"/>
            <w:bookmarkStart w:id="319" w:name="_Toc144969003"/>
            <w:r>
              <w:rPr>
                <w:rFonts w:hint="eastAsia" w:ascii="仿宋" w:hAnsi="仿宋" w:eastAsia="仿宋" w:cs="仿宋"/>
                <w:color w:val="auto"/>
                <w:kern w:val="0"/>
                <w:sz w:val="28"/>
                <w:szCs w:val="28"/>
                <w:highlight w:val="none"/>
              </w:rPr>
              <w:t>21</w:t>
            </w:r>
            <w:bookmarkEnd w:id="317"/>
            <w:bookmarkEnd w:id="318"/>
            <w:bookmarkEnd w:id="319"/>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745F4E1">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投诉质疑和形式</w:t>
            </w:r>
          </w:p>
        </w:tc>
        <w:tc>
          <w:tcPr>
            <w:tcW w:w="6922" w:type="dxa"/>
            <w:tcBorders>
              <w:top w:val="single" w:color="000000" w:sz="4" w:space="0"/>
              <w:left w:val="single" w:color="000000" w:sz="4" w:space="0"/>
              <w:bottom w:val="single" w:color="auto" w:sz="4" w:space="0"/>
              <w:right w:val="single" w:color="000000" w:sz="4" w:space="0"/>
            </w:tcBorders>
            <w:shd w:val="clear" w:color="auto" w:fill="auto"/>
          </w:tcPr>
          <w:p w14:paraId="2DDAC598">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响应供应商如对招投标事项有异议，应按国家相关法律规定向采购人或采购代理机构提出。  </w:t>
            </w:r>
          </w:p>
          <w:p w14:paraId="315F76E3">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禁止虚假恶意投诉，对虚假恶意投诉的，视情节予以处罚。如无效投诉的给予记不良记录。  </w:t>
            </w:r>
          </w:p>
        </w:tc>
      </w:tr>
      <w:tr w14:paraId="5BCC859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5C3C426F">
            <w:pPr>
              <w:spacing w:line="380" w:lineRule="exact"/>
              <w:jc w:val="center"/>
              <w:outlineLvl w:val="0"/>
              <w:rPr>
                <w:rFonts w:ascii="仿宋" w:hAnsi="仿宋" w:eastAsia="仿宋" w:cs="仿宋"/>
                <w:color w:val="auto"/>
                <w:kern w:val="0"/>
                <w:sz w:val="28"/>
                <w:szCs w:val="28"/>
                <w:highlight w:val="none"/>
              </w:rPr>
            </w:pPr>
            <w:bookmarkStart w:id="320" w:name="_Toc144969004"/>
            <w:bookmarkStart w:id="321" w:name="_Toc143448971"/>
            <w:bookmarkStart w:id="322" w:name="_Toc143449693"/>
            <w:r>
              <w:rPr>
                <w:rFonts w:hint="eastAsia" w:ascii="仿宋" w:hAnsi="仿宋" w:eastAsia="仿宋" w:cs="仿宋"/>
                <w:color w:val="auto"/>
                <w:kern w:val="0"/>
                <w:sz w:val="28"/>
                <w:szCs w:val="28"/>
                <w:highlight w:val="none"/>
              </w:rPr>
              <w:t>22</w:t>
            </w:r>
            <w:bookmarkEnd w:id="320"/>
            <w:bookmarkEnd w:id="321"/>
            <w:bookmarkEnd w:id="322"/>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44DECD9C">
            <w:pPr>
              <w:pStyle w:val="2"/>
              <w:spacing w:line="380" w:lineRule="exact"/>
              <w:jc w:val="center"/>
              <w:rPr>
                <w:rFonts w:hint="default" w:ascii="仿宋" w:hAnsi="仿宋" w:eastAsia="仿宋" w:cs="仿宋"/>
                <w:b w:val="0"/>
                <w:color w:val="auto"/>
                <w:sz w:val="28"/>
                <w:szCs w:val="28"/>
                <w:highlight w:val="none"/>
              </w:rPr>
            </w:pPr>
            <w:bookmarkStart w:id="323" w:name="_Toc25746"/>
            <w:bookmarkEnd w:id="323"/>
            <w:bookmarkStart w:id="324" w:name="_Toc26889"/>
            <w:bookmarkStart w:id="325" w:name="_Toc17004"/>
            <w:bookmarkStart w:id="326" w:name="_Toc143449694"/>
            <w:bookmarkStart w:id="327" w:name="_Toc144969005"/>
            <w:bookmarkStart w:id="328" w:name="_Toc143448972"/>
            <w:r>
              <w:rPr>
                <w:rFonts w:ascii="仿宋" w:hAnsi="仿宋" w:eastAsia="仿宋" w:cs="仿宋"/>
                <w:b w:val="0"/>
                <w:color w:val="auto"/>
                <w:sz w:val="28"/>
                <w:szCs w:val="28"/>
                <w:highlight w:val="none"/>
              </w:rPr>
              <w:t>疑问的答疑获取</w:t>
            </w:r>
            <w:bookmarkEnd w:id="324"/>
            <w:bookmarkEnd w:id="325"/>
            <w:bookmarkEnd w:id="326"/>
            <w:bookmarkEnd w:id="327"/>
            <w:bookmarkEnd w:id="328"/>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5C03F832">
            <w:pPr>
              <w:pStyle w:val="2"/>
              <w:spacing w:line="380" w:lineRule="exact"/>
              <w:jc w:val="both"/>
              <w:rPr>
                <w:rFonts w:hint="default" w:ascii="仿宋" w:hAnsi="仿宋" w:eastAsia="仿宋" w:cs="仿宋"/>
                <w:b w:val="0"/>
                <w:color w:val="auto"/>
                <w:sz w:val="28"/>
                <w:szCs w:val="28"/>
                <w:highlight w:val="none"/>
              </w:rPr>
            </w:pPr>
            <w:bookmarkStart w:id="329" w:name="_Toc12358"/>
            <w:bookmarkEnd w:id="329"/>
            <w:r>
              <w:rPr>
                <w:rFonts w:ascii="仿宋" w:hAnsi="仿宋" w:eastAsia="仿宋" w:cs="仿宋"/>
                <w:b w:val="0"/>
                <w:color w:val="auto"/>
                <w:sz w:val="28"/>
                <w:szCs w:val="28"/>
                <w:highlight w:val="none"/>
                <w:lang w:val="en-US" w:eastAsia="zh-CN"/>
              </w:rPr>
              <w:t>疑问的答疑获取均在</w:t>
            </w:r>
            <w:r>
              <w:rPr>
                <w:rFonts w:hint="eastAsia" w:ascii="仿宋" w:hAnsi="仿宋" w:eastAsia="仿宋" w:cs="仿宋"/>
                <w:b w:val="0"/>
                <w:color w:val="auto"/>
                <w:sz w:val="28"/>
                <w:szCs w:val="28"/>
                <w:highlight w:val="none"/>
                <w:lang w:val="en-US" w:eastAsia="zh-CN"/>
              </w:rPr>
              <w:t>磋商公告发布媒介</w:t>
            </w:r>
            <w:r>
              <w:rPr>
                <w:rFonts w:ascii="仿宋" w:hAnsi="仿宋" w:eastAsia="仿宋" w:cs="仿宋"/>
                <w:b w:val="0"/>
                <w:color w:val="auto"/>
                <w:sz w:val="28"/>
                <w:szCs w:val="28"/>
                <w:highlight w:val="none"/>
                <w:lang w:val="en-US" w:eastAsia="zh-CN"/>
              </w:rPr>
              <w:t>在线下载。供应商请注意：采购代理机构对采购文件进行的澄清、更正或更改，将在网站上及时发布，该公告内容为采购文件的组成部分，对供应商具有同样约束效力。</w:t>
            </w:r>
          </w:p>
        </w:tc>
      </w:tr>
      <w:tr w14:paraId="297837C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4557A1B6">
            <w:pPr>
              <w:spacing w:line="380" w:lineRule="exact"/>
              <w:jc w:val="center"/>
              <w:outlineLvl w:val="0"/>
              <w:rPr>
                <w:rFonts w:ascii="仿宋" w:hAnsi="仿宋" w:eastAsia="仿宋" w:cs="仿宋"/>
                <w:color w:val="auto"/>
                <w:kern w:val="0"/>
                <w:sz w:val="28"/>
                <w:szCs w:val="28"/>
                <w:highlight w:val="none"/>
              </w:rPr>
            </w:pPr>
            <w:bookmarkStart w:id="330" w:name="_Toc143448974"/>
            <w:bookmarkStart w:id="331" w:name="_Toc143449696"/>
            <w:bookmarkStart w:id="332" w:name="_Toc144969008"/>
            <w:r>
              <w:rPr>
                <w:rFonts w:hint="eastAsia" w:ascii="仿宋" w:hAnsi="仿宋" w:eastAsia="仿宋" w:cs="仿宋"/>
                <w:color w:val="auto"/>
                <w:kern w:val="0"/>
                <w:sz w:val="28"/>
                <w:szCs w:val="28"/>
                <w:highlight w:val="none"/>
              </w:rPr>
              <w:t>23</w:t>
            </w:r>
            <w:bookmarkEnd w:id="330"/>
            <w:bookmarkEnd w:id="331"/>
            <w:bookmarkEnd w:id="332"/>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26F96F32">
            <w:pPr>
              <w:pStyle w:val="2"/>
              <w:spacing w:line="380" w:lineRule="exact"/>
              <w:jc w:val="center"/>
              <w:rPr>
                <w:rFonts w:hint="default" w:ascii="仿宋" w:hAnsi="仿宋" w:eastAsia="仿宋" w:cs="仿宋"/>
                <w:b w:val="0"/>
                <w:color w:val="auto"/>
                <w:sz w:val="28"/>
                <w:szCs w:val="28"/>
                <w:highlight w:val="none"/>
              </w:rPr>
            </w:pPr>
            <w:bookmarkStart w:id="333" w:name="_Toc144969009"/>
            <w:bookmarkStart w:id="334" w:name="_Toc143448975"/>
            <w:bookmarkStart w:id="335" w:name="_Toc143449697"/>
            <w:r>
              <w:rPr>
                <w:rFonts w:ascii="仿宋" w:hAnsi="仿宋" w:eastAsia="仿宋" w:cs="仿宋"/>
                <w:b w:val="0"/>
                <w:color w:val="auto"/>
                <w:sz w:val="28"/>
                <w:szCs w:val="28"/>
                <w:highlight w:val="none"/>
              </w:rPr>
              <w:t>工程量的核实与调整</w:t>
            </w:r>
            <w:bookmarkEnd w:id="333"/>
            <w:bookmarkEnd w:id="334"/>
            <w:bookmarkEnd w:id="335"/>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71C93B59">
            <w:pPr>
              <w:pStyle w:val="2"/>
              <w:spacing w:line="380" w:lineRule="exact"/>
              <w:rPr>
                <w:rFonts w:hint="default" w:ascii="仿宋" w:hAnsi="仿宋" w:eastAsia="仿宋" w:cs="仿宋"/>
                <w:b w:val="0"/>
                <w:color w:val="auto"/>
                <w:sz w:val="28"/>
                <w:szCs w:val="28"/>
                <w:highlight w:val="none"/>
              </w:rPr>
            </w:pPr>
            <w:bookmarkStart w:id="336" w:name="_Toc143448976"/>
            <w:bookmarkStart w:id="337" w:name="_Toc144969010"/>
            <w:bookmarkStart w:id="338" w:name="_Toc143449698"/>
            <w:r>
              <w:rPr>
                <w:rFonts w:ascii="仿宋" w:hAnsi="仿宋" w:eastAsia="仿宋" w:cs="仿宋"/>
                <w:b w:val="0"/>
                <w:color w:val="auto"/>
                <w:sz w:val="28"/>
                <w:szCs w:val="28"/>
                <w:highlight w:val="none"/>
              </w:rPr>
              <w:t>1.采购人发布的图纸清单及技术规范书，作为本次采购的基础依据。供应商应当在响应文件递交截止时间前提出全部疑问；否则视同认可本采购文件中所提供的工程量</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供应商应按图纸、采购文件、清单等相关资料要求内容完成全部工程内容。</w:t>
            </w:r>
            <w:bookmarkEnd w:id="336"/>
            <w:bookmarkEnd w:id="337"/>
            <w:bookmarkEnd w:id="338"/>
          </w:p>
          <w:p w14:paraId="6A453020">
            <w:pPr>
              <w:pStyle w:val="2"/>
              <w:spacing w:line="380" w:lineRule="exact"/>
              <w:rPr>
                <w:rFonts w:ascii="仿宋" w:hAnsi="仿宋" w:eastAsia="仿宋" w:cs="仿宋"/>
                <w:b w:val="0"/>
                <w:color w:val="auto"/>
                <w:sz w:val="28"/>
                <w:szCs w:val="28"/>
                <w:highlight w:val="none"/>
              </w:rPr>
            </w:pPr>
            <w:bookmarkStart w:id="339" w:name="_Toc143448978"/>
            <w:bookmarkStart w:id="340" w:name="_Toc144969012"/>
            <w:bookmarkStart w:id="341" w:name="_Toc143449700"/>
            <w:r>
              <w:rPr>
                <w:rFonts w:hint="eastAsia" w:ascii="仿宋" w:hAnsi="仿宋" w:eastAsia="仿宋" w:cs="仿宋"/>
                <w:b w:val="0"/>
                <w:color w:val="auto"/>
                <w:sz w:val="28"/>
                <w:szCs w:val="28"/>
                <w:highlight w:val="none"/>
                <w:lang w:val="en-US" w:eastAsia="zh-CN"/>
              </w:rPr>
              <w:t>2</w:t>
            </w:r>
            <w:r>
              <w:rPr>
                <w:rFonts w:ascii="仿宋" w:hAnsi="仿宋" w:eastAsia="仿宋" w:cs="仿宋"/>
                <w:b w:val="0"/>
                <w:color w:val="auto"/>
                <w:sz w:val="28"/>
                <w:szCs w:val="28"/>
                <w:highlight w:val="none"/>
              </w:rPr>
              <w:t>.在标前核量之后，如有少算、漏项或错项等，视为潜在供应商的自行优惠让利，对清单中的所有内容中标后不予调整（除因设计变更、工程变更或合同约定的其他调整因素外）。</w:t>
            </w:r>
            <w:bookmarkEnd w:id="339"/>
            <w:bookmarkEnd w:id="340"/>
            <w:bookmarkEnd w:id="341"/>
          </w:p>
          <w:p w14:paraId="7E9364FE">
            <w:pPr>
              <w:rPr>
                <w:rFonts w:hint="default" w:eastAsia="仿宋"/>
                <w:color w:val="auto"/>
                <w:highlight w:val="none"/>
                <w:lang w:val="en-US" w:eastAsia="zh-CN"/>
              </w:rPr>
            </w:pPr>
            <w:r>
              <w:rPr>
                <w:rFonts w:hint="eastAsia" w:ascii="仿宋" w:hAnsi="仿宋" w:eastAsia="仿宋" w:cs="仿宋"/>
                <w:b/>
                <w:bCs/>
                <w:color w:val="auto"/>
                <w:sz w:val="28"/>
                <w:szCs w:val="28"/>
                <w:highlight w:val="none"/>
                <w:lang w:val="en-US" w:eastAsia="zh-CN"/>
              </w:rPr>
              <w:t>3.本项目施工前，所涉及的施工工艺（或工程量）应由采购人、成交人双方确认后方可实施。</w:t>
            </w:r>
          </w:p>
        </w:tc>
      </w:tr>
      <w:tr w14:paraId="2BFA73F8">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411B2BFE">
            <w:pPr>
              <w:spacing w:line="380" w:lineRule="exact"/>
              <w:jc w:val="center"/>
              <w:outlineLvl w:val="0"/>
              <w:rPr>
                <w:rFonts w:ascii="仿宋" w:hAnsi="仿宋" w:eastAsia="仿宋" w:cs="仿宋"/>
                <w:color w:val="auto"/>
                <w:kern w:val="0"/>
                <w:sz w:val="28"/>
                <w:szCs w:val="28"/>
                <w:highlight w:val="none"/>
              </w:rPr>
            </w:pPr>
            <w:bookmarkStart w:id="342" w:name="_Toc143449701"/>
            <w:bookmarkStart w:id="343" w:name="_Toc144969013"/>
            <w:bookmarkStart w:id="344" w:name="_Toc143448979"/>
            <w:r>
              <w:rPr>
                <w:rFonts w:hint="eastAsia" w:ascii="仿宋" w:hAnsi="仿宋" w:eastAsia="仿宋" w:cs="仿宋"/>
                <w:color w:val="auto"/>
                <w:kern w:val="0"/>
                <w:sz w:val="28"/>
                <w:szCs w:val="28"/>
                <w:highlight w:val="none"/>
              </w:rPr>
              <w:t>24</w:t>
            </w:r>
            <w:bookmarkEnd w:id="342"/>
            <w:bookmarkEnd w:id="343"/>
            <w:bookmarkEnd w:id="344"/>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C8F2512">
            <w:pPr>
              <w:pStyle w:val="2"/>
              <w:spacing w:line="380" w:lineRule="exact"/>
              <w:jc w:val="center"/>
              <w:rPr>
                <w:rFonts w:hint="default" w:ascii="仿宋" w:hAnsi="仿宋" w:eastAsia="仿宋" w:cs="仿宋"/>
                <w:b w:val="0"/>
                <w:color w:val="auto"/>
                <w:sz w:val="28"/>
                <w:szCs w:val="28"/>
                <w:highlight w:val="none"/>
              </w:rPr>
            </w:pPr>
            <w:bookmarkStart w:id="345" w:name="_Toc143448980"/>
            <w:bookmarkStart w:id="346" w:name="_Toc31713"/>
            <w:bookmarkStart w:id="347" w:name="_Toc143449702"/>
            <w:bookmarkStart w:id="348" w:name="_Toc144969014"/>
            <w:bookmarkStart w:id="349" w:name="_Toc14346"/>
            <w:r>
              <w:rPr>
                <w:rFonts w:ascii="仿宋" w:hAnsi="仿宋" w:eastAsia="仿宋" w:cs="仿宋"/>
                <w:b w:val="0"/>
                <w:color w:val="auto"/>
                <w:sz w:val="28"/>
                <w:szCs w:val="28"/>
                <w:highlight w:val="none"/>
              </w:rPr>
              <w:t>构成磋商文件的其他内容材料</w:t>
            </w:r>
            <w:bookmarkEnd w:id="345"/>
            <w:bookmarkEnd w:id="346"/>
            <w:bookmarkEnd w:id="347"/>
            <w:bookmarkEnd w:id="348"/>
            <w:bookmarkEnd w:id="349"/>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1DB7AC0E">
            <w:pPr>
              <w:pStyle w:val="2"/>
              <w:spacing w:line="380" w:lineRule="exact"/>
              <w:jc w:val="both"/>
              <w:rPr>
                <w:rFonts w:hint="default" w:ascii="仿宋" w:hAnsi="仿宋" w:eastAsia="仿宋" w:cs="仿宋"/>
                <w:b w:val="0"/>
                <w:color w:val="auto"/>
                <w:sz w:val="28"/>
                <w:szCs w:val="28"/>
                <w:highlight w:val="none"/>
              </w:rPr>
            </w:pPr>
            <w:bookmarkStart w:id="350" w:name="_Toc143448981"/>
            <w:bookmarkStart w:id="351" w:name="_Toc1204"/>
            <w:bookmarkStart w:id="352" w:name="_Toc143449703"/>
            <w:bookmarkStart w:id="353" w:name="_Toc5484"/>
            <w:bookmarkStart w:id="354" w:name="_Toc144969015"/>
            <w:r>
              <w:rPr>
                <w:rFonts w:ascii="仿宋" w:hAnsi="仿宋" w:eastAsia="仿宋" w:cs="仿宋"/>
                <w:b w:val="0"/>
                <w:color w:val="auto"/>
                <w:sz w:val="28"/>
                <w:szCs w:val="28"/>
                <w:highlight w:val="none"/>
              </w:rPr>
              <w:t>采购需求、澄清文件、答疑文件</w:t>
            </w:r>
            <w:bookmarkEnd w:id="350"/>
            <w:bookmarkEnd w:id="351"/>
            <w:bookmarkEnd w:id="352"/>
            <w:bookmarkEnd w:id="353"/>
            <w:bookmarkEnd w:id="354"/>
          </w:p>
        </w:tc>
      </w:tr>
      <w:tr w14:paraId="487CDFA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FEBFBEB">
            <w:pPr>
              <w:spacing w:line="380" w:lineRule="exact"/>
              <w:jc w:val="center"/>
              <w:outlineLvl w:val="0"/>
              <w:rPr>
                <w:rFonts w:ascii="仿宋" w:hAnsi="仿宋" w:eastAsia="仿宋" w:cs="仿宋"/>
                <w:color w:val="auto"/>
                <w:kern w:val="0"/>
                <w:sz w:val="28"/>
                <w:szCs w:val="28"/>
                <w:highlight w:val="none"/>
              </w:rPr>
            </w:pPr>
            <w:bookmarkStart w:id="355" w:name="_Toc144969016"/>
            <w:bookmarkStart w:id="356" w:name="_Toc143449704"/>
            <w:bookmarkStart w:id="357" w:name="_Toc143448982"/>
            <w:r>
              <w:rPr>
                <w:rFonts w:hint="eastAsia" w:ascii="仿宋" w:hAnsi="仿宋" w:eastAsia="仿宋" w:cs="仿宋"/>
                <w:color w:val="auto"/>
                <w:kern w:val="0"/>
                <w:sz w:val="28"/>
                <w:szCs w:val="28"/>
                <w:highlight w:val="none"/>
              </w:rPr>
              <w:t>25</w:t>
            </w:r>
            <w:bookmarkEnd w:id="355"/>
            <w:bookmarkEnd w:id="356"/>
            <w:bookmarkEnd w:id="35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6511">
            <w:pPr>
              <w:pStyle w:val="2"/>
              <w:spacing w:line="380" w:lineRule="exact"/>
              <w:jc w:val="center"/>
              <w:rPr>
                <w:rFonts w:hint="default" w:ascii="仿宋" w:hAnsi="仿宋" w:eastAsia="仿宋" w:cs="仿宋"/>
                <w:b w:val="0"/>
                <w:color w:val="auto"/>
                <w:sz w:val="28"/>
                <w:szCs w:val="28"/>
                <w:highlight w:val="none"/>
              </w:rPr>
            </w:pPr>
            <w:bookmarkStart w:id="358" w:name="_Toc31907"/>
            <w:bookmarkEnd w:id="358"/>
            <w:bookmarkStart w:id="359" w:name="_Toc1503"/>
            <w:bookmarkEnd w:id="359"/>
            <w:bookmarkStart w:id="360" w:name="_Toc28517"/>
            <w:bookmarkEnd w:id="360"/>
            <w:bookmarkStart w:id="361" w:name="_Toc29568"/>
            <w:bookmarkEnd w:id="361"/>
            <w:bookmarkStart w:id="362" w:name="_Toc143448983"/>
            <w:bookmarkStart w:id="363" w:name="_Toc6820"/>
            <w:bookmarkStart w:id="364" w:name="_Toc4241"/>
            <w:bookmarkStart w:id="365" w:name="_Toc143449705"/>
            <w:bookmarkStart w:id="366" w:name="_Toc144969017"/>
            <w:r>
              <w:rPr>
                <w:rFonts w:ascii="仿宋" w:hAnsi="仿宋" w:eastAsia="仿宋" w:cs="仿宋"/>
                <w:b w:val="0"/>
                <w:color w:val="auto"/>
                <w:sz w:val="28"/>
                <w:szCs w:val="28"/>
                <w:highlight w:val="none"/>
              </w:rPr>
              <w:t>是否允许递交备选投标方案</w:t>
            </w:r>
            <w:bookmarkEnd w:id="362"/>
            <w:bookmarkEnd w:id="363"/>
            <w:bookmarkEnd w:id="364"/>
            <w:bookmarkEnd w:id="365"/>
            <w:bookmarkEnd w:id="366"/>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1A30">
            <w:pPr>
              <w:pStyle w:val="2"/>
              <w:spacing w:line="380" w:lineRule="exact"/>
              <w:jc w:val="both"/>
              <w:rPr>
                <w:rFonts w:hint="default" w:ascii="仿宋" w:hAnsi="仿宋" w:eastAsia="仿宋" w:cs="仿宋"/>
                <w:b w:val="0"/>
                <w:color w:val="auto"/>
                <w:sz w:val="28"/>
                <w:szCs w:val="28"/>
                <w:highlight w:val="none"/>
              </w:rPr>
            </w:pPr>
            <w:bookmarkStart w:id="367" w:name="_Toc23771"/>
            <w:bookmarkEnd w:id="367"/>
            <w:bookmarkStart w:id="368" w:name="_Toc15139"/>
            <w:bookmarkEnd w:id="368"/>
            <w:bookmarkStart w:id="369" w:name="_Toc12233"/>
            <w:bookmarkEnd w:id="369"/>
            <w:bookmarkStart w:id="370" w:name="_Toc9052"/>
            <w:bookmarkEnd w:id="370"/>
            <w:bookmarkStart w:id="371" w:name="_Toc2747"/>
            <w:bookmarkStart w:id="372" w:name="_Toc144969018"/>
            <w:bookmarkStart w:id="373" w:name="_Toc143448984"/>
            <w:bookmarkStart w:id="374" w:name="_Toc18740"/>
            <w:bookmarkStart w:id="375" w:name="_Toc143449706"/>
            <w:r>
              <w:rPr>
                <w:rFonts w:ascii="仿宋" w:hAnsi="仿宋" w:eastAsia="仿宋" w:cs="仿宋"/>
                <w:b w:val="0"/>
                <w:color w:val="auto"/>
                <w:sz w:val="28"/>
                <w:szCs w:val="28"/>
                <w:highlight w:val="none"/>
              </w:rPr>
              <w:t>不允许</w:t>
            </w:r>
            <w:bookmarkEnd w:id="371"/>
            <w:bookmarkEnd w:id="372"/>
            <w:bookmarkEnd w:id="373"/>
            <w:bookmarkEnd w:id="374"/>
            <w:bookmarkEnd w:id="375"/>
          </w:p>
        </w:tc>
      </w:tr>
      <w:tr w14:paraId="2CF787E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9D8526D">
            <w:pPr>
              <w:spacing w:line="380" w:lineRule="exact"/>
              <w:jc w:val="center"/>
              <w:outlineLvl w:val="0"/>
              <w:rPr>
                <w:rFonts w:ascii="仿宋" w:hAnsi="仿宋" w:eastAsia="仿宋" w:cs="仿宋"/>
                <w:color w:val="auto"/>
                <w:kern w:val="0"/>
                <w:sz w:val="28"/>
                <w:szCs w:val="28"/>
                <w:highlight w:val="none"/>
              </w:rPr>
            </w:pPr>
            <w:bookmarkStart w:id="376" w:name="_Toc6445"/>
            <w:bookmarkStart w:id="377" w:name="_Toc12648"/>
            <w:bookmarkStart w:id="378" w:name="_Toc143449707"/>
            <w:bookmarkStart w:id="379" w:name="_Toc143448985"/>
            <w:bookmarkStart w:id="380" w:name="_Toc144969019"/>
            <w:r>
              <w:rPr>
                <w:rFonts w:hint="eastAsia" w:ascii="仿宋" w:hAnsi="仿宋" w:eastAsia="仿宋" w:cs="仿宋"/>
                <w:color w:val="auto"/>
                <w:kern w:val="0"/>
                <w:sz w:val="28"/>
                <w:szCs w:val="28"/>
                <w:highlight w:val="none"/>
              </w:rPr>
              <w:t>2</w:t>
            </w:r>
            <w:bookmarkEnd w:id="376"/>
            <w:bookmarkEnd w:id="377"/>
            <w:r>
              <w:rPr>
                <w:rFonts w:hint="eastAsia" w:ascii="仿宋" w:hAnsi="仿宋" w:eastAsia="仿宋" w:cs="仿宋"/>
                <w:color w:val="auto"/>
                <w:kern w:val="0"/>
                <w:sz w:val="28"/>
                <w:szCs w:val="28"/>
                <w:highlight w:val="none"/>
              </w:rPr>
              <w:t>6</w:t>
            </w:r>
            <w:bookmarkEnd w:id="378"/>
            <w:bookmarkEnd w:id="379"/>
            <w:bookmarkEnd w:id="38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C6E7">
            <w:pPr>
              <w:pStyle w:val="2"/>
              <w:spacing w:line="380" w:lineRule="exact"/>
              <w:jc w:val="center"/>
              <w:rPr>
                <w:rFonts w:hint="default" w:ascii="仿宋" w:hAnsi="仿宋" w:eastAsia="仿宋" w:cs="仿宋"/>
                <w:b w:val="0"/>
                <w:color w:val="auto"/>
                <w:sz w:val="28"/>
                <w:szCs w:val="28"/>
                <w:highlight w:val="none"/>
              </w:rPr>
            </w:pPr>
            <w:bookmarkStart w:id="381" w:name="_Toc19038"/>
            <w:bookmarkEnd w:id="381"/>
            <w:bookmarkStart w:id="382" w:name="_Toc9045"/>
            <w:bookmarkEnd w:id="382"/>
            <w:bookmarkStart w:id="383" w:name="_Toc7680"/>
            <w:bookmarkEnd w:id="383"/>
            <w:bookmarkStart w:id="384" w:name="_Toc13674"/>
            <w:bookmarkEnd w:id="384"/>
            <w:bookmarkStart w:id="385" w:name="_Toc143449708"/>
            <w:bookmarkStart w:id="386" w:name="_Toc2625"/>
            <w:bookmarkStart w:id="387" w:name="_Toc143448986"/>
            <w:bookmarkStart w:id="388" w:name="_Toc32676"/>
            <w:bookmarkStart w:id="389" w:name="_Toc144969020"/>
            <w:r>
              <w:rPr>
                <w:rFonts w:ascii="仿宋" w:hAnsi="仿宋" w:eastAsia="仿宋" w:cs="仿宋"/>
                <w:b w:val="0"/>
                <w:color w:val="auto"/>
                <w:sz w:val="28"/>
                <w:szCs w:val="28"/>
                <w:highlight w:val="none"/>
              </w:rPr>
              <w:t>签字或盖章要求</w:t>
            </w:r>
            <w:bookmarkEnd w:id="385"/>
            <w:bookmarkEnd w:id="386"/>
            <w:bookmarkEnd w:id="387"/>
            <w:bookmarkEnd w:id="388"/>
            <w:bookmarkEnd w:id="38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1E9D">
            <w:pPr>
              <w:pStyle w:val="2"/>
              <w:spacing w:line="380" w:lineRule="exact"/>
              <w:jc w:val="both"/>
              <w:rPr>
                <w:rFonts w:hint="default" w:ascii="仿宋" w:hAnsi="仿宋" w:eastAsia="仿宋" w:cs="仿宋"/>
                <w:b w:val="0"/>
                <w:color w:val="auto"/>
                <w:sz w:val="28"/>
                <w:szCs w:val="28"/>
                <w:highlight w:val="none"/>
              </w:rPr>
            </w:pPr>
            <w:bookmarkStart w:id="390" w:name="_Toc21453"/>
            <w:bookmarkEnd w:id="390"/>
            <w:bookmarkStart w:id="391" w:name="_Toc31579"/>
            <w:bookmarkEnd w:id="391"/>
            <w:bookmarkStart w:id="392" w:name="_Toc24394"/>
            <w:bookmarkEnd w:id="392"/>
            <w:bookmarkStart w:id="393" w:name="_Toc15053"/>
            <w:bookmarkEnd w:id="393"/>
            <w:bookmarkStart w:id="394" w:name="_Toc9946"/>
            <w:bookmarkStart w:id="395" w:name="_Toc143449709"/>
            <w:bookmarkStart w:id="396" w:name="_Toc25816"/>
            <w:bookmarkStart w:id="397" w:name="_Toc144969021"/>
            <w:bookmarkStart w:id="398" w:name="_Toc143448987"/>
            <w:r>
              <w:rPr>
                <w:rFonts w:ascii="仿宋" w:hAnsi="仿宋" w:eastAsia="仿宋" w:cs="仿宋"/>
                <w:b w:val="0"/>
                <w:color w:val="auto"/>
                <w:sz w:val="28"/>
                <w:szCs w:val="28"/>
                <w:highlight w:val="none"/>
              </w:rPr>
              <w:t>按本磋商文件规定</w:t>
            </w:r>
            <w:bookmarkEnd w:id="394"/>
            <w:bookmarkEnd w:id="395"/>
            <w:bookmarkEnd w:id="396"/>
            <w:bookmarkEnd w:id="397"/>
            <w:bookmarkEnd w:id="398"/>
          </w:p>
        </w:tc>
      </w:tr>
      <w:tr w14:paraId="5852C58E">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7F9398C">
            <w:pPr>
              <w:spacing w:line="380" w:lineRule="exact"/>
              <w:jc w:val="center"/>
              <w:outlineLvl w:val="0"/>
              <w:rPr>
                <w:rFonts w:ascii="仿宋" w:hAnsi="仿宋" w:eastAsia="仿宋" w:cs="仿宋"/>
                <w:color w:val="auto"/>
                <w:kern w:val="0"/>
                <w:sz w:val="28"/>
                <w:szCs w:val="28"/>
                <w:highlight w:val="none"/>
              </w:rPr>
            </w:pPr>
            <w:bookmarkStart w:id="399" w:name="_Toc4173"/>
            <w:bookmarkStart w:id="400" w:name="_Toc4478"/>
            <w:bookmarkStart w:id="401" w:name="_Toc143448988"/>
            <w:bookmarkStart w:id="402" w:name="_Toc143449710"/>
            <w:bookmarkStart w:id="403" w:name="_Toc144969022"/>
            <w:r>
              <w:rPr>
                <w:rFonts w:hint="eastAsia" w:ascii="仿宋" w:hAnsi="仿宋" w:eastAsia="仿宋" w:cs="仿宋"/>
                <w:color w:val="auto"/>
                <w:kern w:val="0"/>
                <w:sz w:val="28"/>
                <w:szCs w:val="28"/>
                <w:highlight w:val="none"/>
              </w:rPr>
              <w:t>2</w:t>
            </w:r>
            <w:bookmarkEnd w:id="399"/>
            <w:bookmarkEnd w:id="400"/>
            <w:r>
              <w:rPr>
                <w:rFonts w:hint="eastAsia" w:ascii="仿宋" w:hAnsi="仿宋" w:eastAsia="仿宋" w:cs="仿宋"/>
                <w:color w:val="auto"/>
                <w:kern w:val="0"/>
                <w:sz w:val="28"/>
                <w:szCs w:val="28"/>
                <w:highlight w:val="none"/>
              </w:rPr>
              <w:t>7</w:t>
            </w:r>
            <w:bookmarkEnd w:id="401"/>
            <w:bookmarkEnd w:id="402"/>
            <w:bookmarkEnd w:id="403"/>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D9F">
            <w:pPr>
              <w:pStyle w:val="2"/>
              <w:spacing w:line="380" w:lineRule="exact"/>
              <w:jc w:val="center"/>
              <w:rPr>
                <w:rFonts w:hint="default" w:ascii="仿宋" w:hAnsi="仿宋" w:eastAsia="仿宋" w:cs="仿宋"/>
                <w:b w:val="0"/>
                <w:color w:val="auto"/>
                <w:sz w:val="28"/>
                <w:szCs w:val="28"/>
                <w:highlight w:val="none"/>
              </w:rPr>
            </w:pPr>
            <w:bookmarkStart w:id="404" w:name="_Toc7392"/>
            <w:bookmarkEnd w:id="404"/>
            <w:bookmarkStart w:id="405" w:name="_Toc13047"/>
            <w:bookmarkEnd w:id="405"/>
            <w:bookmarkStart w:id="406" w:name="_Toc4220"/>
            <w:bookmarkEnd w:id="406"/>
            <w:bookmarkStart w:id="407" w:name="_Toc1137"/>
            <w:bookmarkEnd w:id="407"/>
            <w:bookmarkStart w:id="408" w:name="_Toc144969023"/>
            <w:bookmarkStart w:id="409" w:name="_Toc19474"/>
            <w:bookmarkStart w:id="410" w:name="_Toc143449711"/>
            <w:bookmarkStart w:id="411" w:name="_Toc6750"/>
            <w:bookmarkStart w:id="412" w:name="_Toc143448989"/>
            <w:r>
              <w:rPr>
                <w:rFonts w:ascii="仿宋" w:hAnsi="仿宋" w:eastAsia="仿宋" w:cs="仿宋"/>
                <w:b w:val="0"/>
                <w:color w:val="auto"/>
                <w:sz w:val="28"/>
                <w:szCs w:val="28"/>
                <w:highlight w:val="none"/>
              </w:rPr>
              <w:t>投标文件份数</w:t>
            </w:r>
            <w:bookmarkEnd w:id="408"/>
            <w:bookmarkEnd w:id="409"/>
            <w:bookmarkEnd w:id="410"/>
            <w:bookmarkEnd w:id="411"/>
            <w:bookmarkEnd w:id="41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AD8B">
            <w:pPr>
              <w:pStyle w:val="2"/>
              <w:spacing w:line="380" w:lineRule="exact"/>
              <w:jc w:val="both"/>
              <w:rPr>
                <w:rFonts w:hint="default" w:ascii="仿宋" w:hAnsi="仿宋" w:eastAsia="仿宋" w:cs="仿宋"/>
                <w:b w:val="0"/>
                <w:color w:val="auto"/>
                <w:sz w:val="28"/>
                <w:szCs w:val="28"/>
                <w:highlight w:val="none"/>
              </w:rPr>
            </w:pPr>
            <w:bookmarkStart w:id="413" w:name="_Toc7337"/>
            <w:bookmarkEnd w:id="413"/>
            <w:r>
              <w:rPr>
                <w:rFonts w:ascii="仿宋" w:hAnsi="仿宋" w:eastAsia="仿宋" w:cs="仿宋"/>
                <w:b w:val="0"/>
                <w:color w:val="auto"/>
                <w:sz w:val="28"/>
                <w:szCs w:val="28"/>
                <w:highlight w:val="none"/>
                <w:lang w:val="en-US" w:eastAsia="zh-CN"/>
              </w:rPr>
              <w:t>响应文件须胶装成册，正本一份、副本四份（副本可以是正本的复印件，复印件必须字迹清晰可认），</w:t>
            </w:r>
            <w:r>
              <w:rPr>
                <w:rFonts w:hint="eastAsia" w:ascii="仿宋" w:hAnsi="仿宋" w:eastAsia="仿宋" w:cs="仿宋"/>
                <w:b w:val="0"/>
                <w:color w:val="auto"/>
                <w:sz w:val="28"/>
                <w:szCs w:val="28"/>
                <w:highlight w:val="none"/>
              </w:rPr>
              <w:t>另附与正本一致的电子版一份（U盘）</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lang w:val="en-US" w:eastAsia="zh-CN"/>
              </w:rPr>
              <w:t>正本、副本</w:t>
            </w:r>
            <w:r>
              <w:rPr>
                <w:rFonts w:hint="eastAsia" w:ascii="仿宋" w:hAnsi="仿宋" w:eastAsia="仿宋" w:cs="仿宋"/>
                <w:b w:val="0"/>
                <w:color w:val="auto"/>
                <w:sz w:val="28"/>
                <w:szCs w:val="28"/>
                <w:highlight w:val="none"/>
                <w:lang w:val="en-US" w:eastAsia="zh-CN"/>
              </w:rPr>
              <w:t>及U盘</w:t>
            </w:r>
            <w:r>
              <w:rPr>
                <w:rFonts w:ascii="仿宋" w:hAnsi="仿宋" w:eastAsia="仿宋" w:cs="仿宋"/>
                <w:b w:val="0"/>
                <w:color w:val="auto"/>
                <w:sz w:val="28"/>
                <w:szCs w:val="28"/>
                <w:highlight w:val="none"/>
                <w:lang w:val="en-US" w:eastAsia="zh-CN"/>
              </w:rPr>
              <w:t>密封在一个密封袋内。开标现场提交密封的</w:t>
            </w:r>
            <w:r>
              <w:rPr>
                <w:rFonts w:hint="eastAsia" w:ascii="仿宋" w:hAnsi="仿宋" w:eastAsia="仿宋" w:cs="仿宋"/>
                <w:b w:val="0"/>
                <w:color w:val="auto"/>
                <w:sz w:val="28"/>
                <w:szCs w:val="28"/>
                <w:highlight w:val="none"/>
                <w:lang w:val="en-US" w:eastAsia="zh-CN"/>
              </w:rPr>
              <w:t>响应</w:t>
            </w:r>
            <w:r>
              <w:rPr>
                <w:rFonts w:ascii="仿宋" w:hAnsi="仿宋" w:eastAsia="仿宋" w:cs="仿宋"/>
                <w:b w:val="0"/>
                <w:color w:val="auto"/>
                <w:sz w:val="28"/>
                <w:szCs w:val="28"/>
                <w:highlight w:val="none"/>
                <w:lang w:val="en-US" w:eastAsia="zh-CN"/>
              </w:rPr>
              <w:t>文件，密封袋上注明：项目名称及项目编号、投标</w:t>
            </w:r>
            <w:r>
              <w:rPr>
                <w:rFonts w:hint="eastAsia" w:ascii="仿宋" w:hAnsi="仿宋" w:eastAsia="仿宋" w:cs="仿宋"/>
                <w:b w:val="0"/>
                <w:color w:val="auto"/>
                <w:sz w:val="28"/>
                <w:szCs w:val="28"/>
                <w:highlight w:val="none"/>
                <w:lang w:val="en-US" w:eastAsia="zh-CN"/>
              </w:rPr>
              <w:t>供应商</w:t>
            </w:r>
            <w:r>
              <w:rPr>
                <w:rFonts w:ascii="仿宋" w:hAnsi="仿宋" w:eastAsia="仿宋" w:cs="仿宋"/>
                <w:b w:val="0"/>
                <w:color w:val="auto"/>
                <w:sz w:val="28"/>
                <w:szCs w:val="28"/>
                <w:highlight w:val="none"/>
                <w:lang w:val="en-US" w:eastAsia="zh-CN"/>
              </w:rPr>
              <w:t>名称，投标</w:t>
            </w:r>
            <w:r>
              <w:rPr>
                <w:rFonts w:hint="eastAsia" w:ascii="仿宋" w:hAnsi="仿宋" w:eastAsia="仿宋" w:cs="仿宋"/>
                <w:b w:val="0"/>
                <w:color w:val="auto"/>
                <w:sz w:val="28"/>
                <w:szCs w:val="28"/>
                <w:highlight w:val="none"/>
                <w:lang w:val="en-US" w:eastAsia="zh-CN"/>
              </w:rPr>
              <w:t>供应商</w:t>
            </w:r>
            <w:r>
              <w:rPr>
                <w:rFonts w:ascii="仿宋" w:hAnsi="仿宋" w:eastAsia="仿宋" w:cs="仿宋"/>
                <w:b w:val="0"/>
                <w:color w:val="auto"/>
                <w:sz w:val="28"/>
                <w:szCs w:val="28"/>
                <w:highlight w:val="none"/>
                <w:lang w:val="en-US" w:eastAsia="zh-CN"/>
              </w:rPr>
              <w:t>地址，并注明“  年  月  日  时  分（投标截止时间）之前不得启封”字样。</w:t>
            </w:r>
          </w:p>
        </w:tc>
      </w:tr>
      <w:tr w14:paraId="6835194C">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2F8CEF7">
            <w:pPr>
              <w:spacing w:line="380" w:lineRule="exact"/>
              <w:jc w:val="center"/>
              <w:outlineLvl w:val="0"/>
              <w:rPr>
                <w:rFonts w:ascii="仿宋" w:hAnsi="仿宋" w:eastAsia="仿宋" w:cs="仿宋"/>
                <w:color w:val="auto"/>
                <w:kern w:val="0"/>
                <w:sz w:val="28"/>
                <w:szCs w:val="28"/>
                <w:highlight w:val="none"/>
              </w:rPr>
            </w:pPr>
            <w:bookmarkStart w:id="414" w:name="_Toc143448991"/>
            <w:bookmarkStart w:id="415" w:name="_Toc143449713"/>
            <w:bookmarkStart w:id="416" w:name="_Toc144969025"/>
            <w:r>
              <w:rPr>
                <w:rFonts w:hint="eastAsia" w:ascii="仿宋" w:hAnsi="仿宋" w:eastAsia="仿宋" w:cs="仿宋"/>
                <w:color w:val="auto"/>
                <w:kern w:val="0"/>
                <w:sz w:val="28"/>
                <w:szCs w:val="28"/>
                <w:highlight w:val="none"/>
              </w:rPr>
              <w:t>28</w:t>
            </w:r>
            <w:bookmarkEnd w:id="414"/>
            <w:bookmarkEnd w:id="415"/>
            <w:bookmarkEnd w:id="41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E53">
            <w:pPr>
              <w:pStyle w:val="2"/>
              <w:spacing w:line="380" w:lineRule="exact"/>
              <w:jc w:val="center"/>
              <w:rPr>
                <w:rFonts w:hint="default" w:ascii="仿宋" w:hAnsi="仿宋" w:eastAsia="仿宋" w:cs="仿宋"/>
                <w:b w:val="0"/>
                <w:color w:val="auto"/>
                <w:sz w:val="28"/>
                <w:szCs w:val="28"/>
                <w:highlight w:val="none"/>
              </w:rPr>
            </w:pPr>
            <w:bookmarkStart w:id="417" w:name="_Toc12120"/>
            <w:bookmarkEnd w:id="417"/>
            <w:bookmarkStart w:id="418" w:name="_Toc14309"/>
            <w:bookmarkEnd w:id="418"/>
            <w:bookmarkStart w:id="419" w:name="_Toc1095"/>
            <w:bookmarkEnd w:id="419"/>
            <w:bookmarkStart w:id="420" w:name="_Toc28368"/>
            <w:bookmarkEnd w:id="420"/>
            <w:bookmarkStart w:id="421" w:name="_Toc143449714"/>
            <w:bookmarkStart w:id="422" w:name="_Toc143448992"/>
            <w:bookmarkStart w:id="423" w:name="_Toc16793"/>
            <w:bookmarkStart w:id="424" w:name="_Toc144969026"/>
            <w:bookmarkStart w:id="425" w:name="_Toc5276"/>
            <w:r>
              <w:rPr>
                <w:rFonts w:ascii="仿宋" w:hAnsi="仿宋" w:eastAsia="仿宋" w:cs="仿宋"/>
                <w:b w:val="0"/>
                <w:color w:val="auto"/>
                <w:sz w:val="28"/>
                <w:szCs w:val="28"/>
                <w:highlight w:val="none"/>
              </w:rPr>
              <w:t>递交投标文件地点</w:t>
            </w:r>
            <w:bookmarkEnd w:id="421"/>
            <w:bookmarkEnd w:id="422"/>
            <w:bookmarkEnd w:id="423"/>
            <w:bookmarkEnd w:id="424"/>
            <w:bookmarkEnd w:id="425"/>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33DB">
            <w:pPr>
              <w:pStyle w:val="2"/>
              <w:spacing w:line="380" w:lineRule="exact"/>
              <w:rPr>
                <w:rFonts w:hint="default" w:ascii="仿宋" w:hAnsi="仿宋" w:eastAsia="仿宋" w:cs="仿宋"/>
                <w:b w:val="0"/>
                <w:color w:val="auto"/>
                <w:sz w:val="28"/>
                <w:szCs w:val="28"/>
                <w:highlight w:val="none"/>
                <w:lang w:val="en-US"/>
              </w:rPr>
            </w:pPr>
            <w:bookmarkStart w:id="426" w:name="_Toc1391"/>
            <w:bookmarkEnd w:id="426"/>
            <w:bookmarkStart w:id="427" w:name="_Toc5756"/>
            <w:bookmarkEnd w:id="427"/>
            <w:r>
              <w:rPr>
                <w:rFonts w:hint="eastAsia" w:ascii="仿宋" w:hAnsi="仿宋" w:eastAsia="仿宋" w:cs="仿宋"/>
                <w:b w:val="0"/>
                <w:color w:val="auto"/>
                <w:sz w:val="28"/>
                <w:szCs w:val="28"/>
                <w:highlight w:val="none"/>
                <w:lang w:val="en-US" w:eastAsia="zh-CN"/>
              </w:rPr>
              <w:t>见磋商公告</w:t>
            </w:r>
          </w:p>
        </w:tc>
      </w:tr>
      <w:tr w14:paraId="75EB63B6">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33094041">
            <w:pPr>
              <w:spacing w:line="380" w:lineRule="exact"/>
              <w:jc w:val="center"/>
              <w:outlineLvl w:val="0"/>
              <w:rPr>
                <w:rFonts w:ascii="仿宋" w:hAnsi="仿宋" w:eastAsia="仿宋" w:cs="仿宋"/>
                <w:color w:val="auto"/>
                <w:kern w:val="0"/>
                <w:sz w:val="28"/>
                <w:szCs w:val="28"/>
                <w:highlight w:val="none"/>
              </w:rPr>
            </w:pPr>
            <w:bookmarkStart w:id="428" w:name="_Toc144969028"/>
            <w:bookmarkStart w:id="429" w:name="_Toc143448994"/>
            <w:bookmarkStart w:id="430" w:name="_Toc143449716"/>
            <w:r>
              <w:rPr>
                <w:rFonts w:hint="eastAsia" w:ascii="仿宋" w:hAnsi="仿宋" w:eastAsia="仿宋" w:cs="仿宋"/>
                <w:color w:val="auto"/>
                <w:kern w:val="0"/>
                <w:sz w:val="28"/>
                <w:szCs w:val="28"/>
                <w:highlight w:val="none"/>
              </w:rPr>
              <w:t>29</w:t>
            </w:r>
            <w:bookmarkEnd w:id="428"/>
            <w:bookmarkEnd w:id="429"/>
            <w:bookmarkEnd w:id="430"/>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60EF781">
            <w:pPr>
              <w:pStyle w:val="2"/>
              <w:spacing w:line="380" w:lineRule="exact"/>
              <w:jc w:val="center"/>
              <w:rPr>
                <w:rFonts w:hint="default" w:ascii="仿宋" w:hAnsi="仿宋" w:eastAsia="仿宋" w:cs="仿宋"/>
                <w:b w:val="0"/>
                <w:color w:val="auto"/>
                <w:sz w:val="28"/>
                <w:szCs w:val="28"/>
                <w:highlight w:val="none"/>
              </w:rPr>
            </w:pPr>
            <w:bookmarkStart w:id="431" w:name="_Toc26553"/>
            <w:bookmarkEnd w:id="431"/>
            <w:bookmarkStart w:id="432" w:name="_Toc11242"/>
            <w:bookmarkEnd w:id="432"/>
            <w:bookmarkStart w:id="433" w:name="_Toc18607"/>
            <w:bookmarkEnd w:id="433"/>
            <w:bookmarkStart w:id="434" w:name="_Toc23536"/>
            <w:bookmarkEnd w:id="434"/>
            <w:bookmarkStart w:id="435" w:name="_Toc31996"/>
            <w:bookmarkStart w:id="436" w:name="_Toc143449717"/>
            <w:bookmarkStart w:id="437" w:name="_Toc144969029"/>
            <w:bookmarkStart w:id="438" w:name="_Toc143448995"/>
            <w:bookmarkStart w:id="439" w:name="_Toc30982"/>
            <w:r>
              <w:rPr>
                <w:rFonts w:ascii="仿宋" w:hAnsi="仿宋" w:eastAsia="仿宋" w:cs="仿宋"/>
                <w:b w:val="0"/>
                <w:color w:val="auto"/>
                <w:sz w:val="28"/>
                <w:szCs w:val="28"/>
                <w:highlight w:val="none"/>
              </w:rPr>
              <w:t>是否退还投标文件</w:t>
            </w:r>
            <w:bookmarkEnd w:id="435"/>
            <w:bookmarkEnd w:id="436"/>
            <w:bookmarkEnd w:id="437"/>
            <w:bookmarkEnd w:id="438"/>
            <w:bookmarkEnd w:id="439"/>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B320237">
            <w:pPr>
              <w:pStyle w:val="2"/>
              <w:spacing w:line="380" w:lineRule="exact"/>
              <w:rPr>
                <w:rFonts w:hint="default" w:ascii="仿宋" w:hAnsi="仿宋" w:eastAsia="仿宋" w:cs="仿宋"/>
                <w:b w:val="0"/>
                <w:color w:val="auto"/>
                <w:sz w:val="28"/>
                <w:szCs w:val="28"/>
                <w:highlight w:val="none"/>
              </w:rPr>
            </w:pPr>
            <w:bookmarkStart w:id="440" w:name="_Toc30822"/>
            <w:bookmarkEnd w:id="440"/>
            <w:bookmarkStart w:id="441" w:name="_Toc1232"/>
            <w:bookmarkEnd w:id="441"/>
            <w:bookmarkStart w:id="442" w:name="_Toc31840"/>
            <w:bookmarkEnd w:id="442"/>
            <w:bookmarkStart w:id="443" w:name="_Toc10402"/>
            <w:bookmarkEnd w:id="443"/>
            <w:bookmarkStart w:id="444" w:name="_Toc7597"/>
            <w:bookmarkStart w:id="445" w:name="_Toc143449718"/>
            <w:bookmarkStart w:id="446" w:name="_Toc144969030"/>
            <w:bookmarkStart w:id="447" w:name="_Toc22203"/>
            <w:bookmarkStart w:id="448" w:name="_Toc143448996"/>
            <w:r>
              <w:rPr>
                <w:rFonts w:ascii="仿宋" w:hAnsi="仿宋" w:eastAsia="仿宋" w:cs="仿宋"/>
                <w:b w:val="0"/>
                <w:color w:val="auto"/>
                <w:sz w:val="28"/>
                <w:szCs w:val="28"/>
                <w:highlight w:val="none"/>
              </w:rPr>
              <w:t>否</w:t>
            </w:r>
            <w:bookmarkEnd w:id="444"/>
            <w:bookmarkEnd w:id="445"/>
            <w:bookmarkEnd w:id="446"/>
            <w:bookmarkEnd w:id="447"/>
            <w:bookmarkEnd w:id="448"/>
          </w:p>
        </w:tc>
      </w:tr>
      <w:tr w14:paraId="19FAC32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74A4734">
            <w:pPr>
              <w:spacing w:line="380" w:lineRule="exact"/>
              <w:jc w:val="center"/>
              <w:outlineLvl w:val="0"/>
              <w:rPr>
                <w:rFonts w:ascii="仿宋" w:hAnsi="仿宋" w:eastAsia="仿宋" w:cs="仿宋"/>
                <w:color w:val="auto"/>
                <w:kern w:val="0"/>
                <w:sz w:val="28"/>
                <w:szCs w:val="28"/>
                <w:highlight w:val="none"/>
              </w:rPr>
            </w:pPr>
            <w:bookmarkStart w:id="449" w:name="_Toc15222"/>
            <w:bookmarkStart w:id="450" w:name="_Toc17454"/>
            <w:bookmarkStart w:id="451" w:name="_Toc143448997"/>
            <w:bookmarkStart w:id="452" w:name="_Toc144969031"/>
            <w:bookmarkStart w:id="453" w:name="_Toc143449719"/>
            <w:r>
              <w:rPr>
                <w:rFonts w:hint="eastAsia" w:ascii="仿宋" w:hAnsi="仿宋" w:eastAsia="仿宋" w:cs="仿宋"/>
                <w:color w:val="auto"/>
                <w:kern w:val="0"/>
                <w:sz w:val="28"/>
                <w:szCs w:val="28"/>
                <w:highlight w:val="none"/>
              </w:rPr>
              <w:t>3</w:t>
            </w:r>
            <w:bookmarkEnd w:id="449"/>
            <w:bookmarkEnd w:id="450"/>
            <w:r>
              <w:rPr>
                <w:rFonts w:hint="eastAsia" w:ascii="仿宋" w:hAnsi="仿宋" w:eastAsia="仿宋" w:cs="仿宋"/>
                <w:color w:val="auto"/>
                <w:kern w:val="0"/>
                <w:sz w:val="28"/>
                <w:szCs w:val="28"/>
                <w:highlight w:val="none"/>
              </w:rPr>
              <w:t>0</w:t>
            </w:r>
            <w:bookmarkEnd w:id="451"/>
            <w:bookmarkEnd w:id="452"/>
            <w:bookmarkEnd w:id="453"/>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F1BE4CA">
            <w:pPr>
              <w:pStyle w:val="2"/>
              <w:spacing w:line="380" w:lineRule="exact"/>
              <w:jc w:val="center"/>
              <w:rPr>
                <w:rFonts w:hint="default" w:ascii="仿宋" w:hAnsi="仿宋" w:eastAsia="仿宋" w:cs="仿宋"/>
                <w:b w:val="0"/>
                <w:color w:val="auto"/>
                <w:sz w:val="28"/>
                <w:szCs w:val="28"/>
                <w:highlight w:val="none"/>
              </w:rPr>
            </w:pPr>
            <w:bookmarkStart w:id="454" w:name="_Toc19594"/>
            <w:bookmarkEnd w:id="454"/>
            <w:bookmarkStart w:id="455" w:name="_Toc2446"/>
            <w:bookmarkEnd w:id="455"/>
            <w:bookmarkStart w:id="456" w:name="_Toc31226"/>
            <w:bookmarkEnd w:id="456"/>
            <w:bookmarkStart w:id="457" w:name="_Toc10354"/>
            <w:bookmarkEnd w:id="457"/>
            <w:bookmarkStart w:id="458" w:name="_Toc6821"/>
            <w:bookmarkStart w:id="459" w:name="_Toc143448998"/>
            <w:bookmarkStart w:id="460" w:name="_Toc143449720"/>
            <w:bookmarkStart w:id="461" w:name="_Toc12750"/>
            <w:bookmarkStart w:id="462" w:name="_Toc144969032"/>
            <w:r>
              <w:rPr>
                <w:rFonts w:ascii="仿宋" w:hAnsi="仿宋" w:eastAsia="仿宋" w:cs="仿宋"/>
                <w:b w:val="0"/>
                <w:color w:val="auto"/>
                <w:sz w:val="28"/>
                <w:szCs w:val="28"/>
                <w:highlight w:val="none"/>
              </w:rPr>
              <w:t>开标时间和地点</w:t>
            </w:r>
            <w:bookmarkEnd w:id="458"/>
            <w:bookmarkEnd w:id="459"/>
            <w:bookmarkEnd w:id="460"/>
            <w:bookmarkEnd w:id="461"/>
            <w:bookmarkEnd w:id="462"/>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054752A3">
            <w:pPr>
              <w:spacing w:line="380" w:lineRule="exact"/>
              <w:rPr>
                <w:rFonts w:ascii="仿宋" w:hAnsi="仿宋" w:eastAsia="仿宋" w:cs="仿宋"/>
                <w:color w:val="auto"/>
                <w:sz w:val="28"/>
                <w:szCs w:val="28"/>
                <w:highlight w:val="none"/>
              </w:rPr>
            </w:pPr>
            <w:bookmarkStart w:id="463" w:name="_Toc10596"/>
            <w:bookmarkEnd w:id="463"/>
            <w:bookmarkStart w:id="464" w:name="_Toc30687"/>
            <w:bookmarkEnd w:id="464"/>
            <w:bookmarkStart w:id="465" w:name="_Toc3980"/>
            <w:bookmarkEnd w:id="465"/>
            <w:bookmarkStart w:id="466" w:name="_Toc27324"/>
            <w:bookmarkEnd w:id="466"/>
            <w:r>
              <w:rPr>
                <w:rFonts w:hint="eastAsia" w:ascii="仿宋" w:hAnsi="仿宋" w:eastAsia="仿宋" w:cs="仿宋"/>
                <w:b w:val="0"/>
                <w:color w:val="auto"/>
                <w:sz w:val="28"/>
                <w:szCs w:val="28"/>
                <w:highlight w:val="none"/>
                <w:lang w:val="en-US" w:eastAsia="zh-CN"/>
              </w:rPr>
              <w:t>见磋商公告</w:t>
            </w:r>
          </w:p>
        </w:tc>
      </w:tr>
      <w:tr w14:paraId="78199181">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69BBCC0D">
            <w:pPr>
              <w:spacing w:line="380" w:lineRule="exact"/>
              <w:jc w:val="center"/>
              <w:outlineLvl w:val="0"/>
              <w:rPr>
                <w:rFonts w:ascii="仿宋" w:hAnsi="仿宋" w:eastAsia="仿宋" w:cs="仿宋"/>
                <w:color w:val="auto"/>
                <w:kern w:val="0"/>
                <w:sz w:val="28"/>
                <w:szCs w:val="28"/>
                <w:highlight w:val="none"/>
              </w:rPr>
            </w:pPr>
            <w:bookmarkStart w:id="467" w:name="_Toc28203"/>
            <w:bookmarkStart w:id="468" w:name="_Toc22056"/>
            <w:bookmarkStart w:id="469" w:name="_Toc143449722"/>
            <w:bookmarkStart w:id="470" w:name="_Toc143449000"/>
            <w:bookmarkStart w:id="471" w:name="_Toc144969034"/>
            <w:r>
              <w:rPr>
                <w:rFonts w:hint="eastAsia" w:ascii="仿宋" w:hAnsi="仿宋" w:eastAsia="仿宋" w:cs="仿宋"/>
                <w:color w:val="auto"/>
                <w:kern w:val="0"/>
                <w:sz w:val="28"/>
                <w:szCs w:val="28"/>
                <w:highlight w:val="none"/>
              </w:rPr>
              <w:t>3</w:t>
            </w:r>
            <w:bookmarkEnd w:id="467"/>
            <w:bookmarkEnd w:id="468"/>
            <w:r>
              <w:rPr>
                <w:rFonts w:hint="eastAsia" w:ascii="仿宋" w:hAnsi="仿宋" w:eastAsia="仿宋" w:cs="仿宋"/>
                <w:color w:val="auto"/>
                <w:kern w:val="0"/>
                <w:sz w:val="28"/>
                <w:szCs w:val="28"/>
                <w:highlight w:val="none"/>
              </w:rPr>
              <w:t>1</w:t>
            </w:r>
            <w:bookmarkEnd w:id="469"/>
            <w:bookmarkEnd w:id="470"/>
            <w:bookmarkEnd w:id="471"/>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17D6DD4">
            <w:pPr>
              <w:pStyle w:val="2"/>
              <w:spacing w:line="380" w:lineRule="exact"/>
              <w:jc w:val="center"/>
              <w:rPr>
                <w:rFonts w:hint="default" w:ascii="仿宋" w:hAnsi="仿宋" w:eastAsia="仿宋" w:cs="仿宋"/>
                <w:b w:val="0"/>
                <w:color w:val="auto"/>
                <w:sz w:val="28"/>
                <w:szCs w:val="28"/>
                <w:highlight w:val="none"/>
              </w:rPr>
            </w:pPr>
            <w:bookmarkStart w:id="472" w:name="_Toc19129"/>
            <w:bookmarkEnd w:id="472"/>
            <w:bookmarkStart w:id="473" w:name="_Toc9064"/>
            <w:bookmarkEnd w:id="473"/>
            <w:bookmarkStart w:id="474" w:name="_Toc24494"/>
            <w:bookmarkEnd w:id="474"/>
            <w:bookmarkStart w:id="475" w:name="_Toc8744"/>
            <w:bookmarkEnd w:id="475"/>
            <w:bookmarkStart w:id="476" w:name="_Toc143449001"/>
            <w:bookmarkStart w:id="477" w:name="_Toc28772"/>
            <w:bookmarkStart w:id="478" w:name="_Toc144969035"/>
            <w:bookmarkStart w:id="479" w:name="_Toc143449723"/>
            <w:bookmarkStart w:id="480" w:name="_Toc20855"/>
            <w:r>
              <w:rPr>
                <w:rFonts w:ascii="仿宋" w:hAnsi="仿宋" w:eastAsia="仿宋" w:cs="仿宋"/>
                <w:b w:val="0"/>
                <w:color w:val="auto"/>
                <w:sz w:val="28"/>
                <w:szCs w:val="28"/>
                <w:highlight w:val="none"/>
              </w:rPr>
              <w:t>开标程序</w:t>
            </w:r>
            <w:bookmarkEnd w:id="476"/>
            <w:bookmarkEnd w:id="477"/>
            <w:bookmarkEnd w:id="478"/>
            <w:bookmarkEnd w:id="479"/>
            <w:bookmarkEnd w:id="480"/>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34D940FF">
            <w:pPr>
              <w:pStyle w:val="2"/>
              <w:spacing w:line="380" w:lineRule="exact"/>
              <w:rPr>
                <w:rFonts w:hint="default" w:ascii="仿宋" w:hAnsi="仿宋" w:eastAsia="仿宋" w:cs="仿宋"/>
                <w:b w:val="0"/>
                <w:color w:val="auto"/>
                <w:sz w:val="28"/>
                <w:szCs w:val="28"/>
                <w:highlight w:val="none"/>
                <w:lang w:val="en-US" w:eastAsia="zh-CN"/>
              </w:rPr>
            </w:pPr>
            <w:bookmarkStart w:id="481" w:name="_Toc19935"/>
            <w:bookmarkEnd w:id="481"/>
            <w:bookmarkStart w:id="482" w:name="_Toc30301"/>
            <w:bookmarkEnd w:id="482"/>
            <w:bookmarkStart w:id="483" w:name="_Toc23222"/>
            <w:bookmarkEnd w:id="483"/>
            <w:bookmarkStart w:id="484" w:name="_Toc15592"/>
            <w:bookmarkEnd w:id="484"/>
            <w:r>
              <w:rPr>
                <w:rFonts w:ascii="仿宋" w:hAnsi="仿宋" w:eastAsia="仿宋" w:cs="仿宋"/>
                <w:b w:val="0"/>
                <w:color w:val="auto"/>
                <w:sz w:val="28"/>
                <w:szCs w:val="28"/>
                <w:highlight w:val="none"/>
                <w:lang w:val="en-US" w:eastAsia="zh-CN"/>
              </w:rPr>
              <w:t>1.投标单位代表（法定代表人须携带身份证原件、法定代表人身份证明。委托代理人应手持携带法人授权委托书、本人身份证原件）参加开标会，并签到，否则不得对开标过程及结果提出任何异议。</w:t>
            </w:r>
          </w:p>
          <w:p w14:paraId="13595977">
            <w:pPr>
              <w:pStyle w:val="2"/>
              <w:spacing w:line="380" w:lineRule="exact"/>
              <w:rPr>
                <w:rFonts w:hint="default" w:ascii="仿宋" w:hAnsi="仿宋" w:eastAsia="仿宋" w:cs="仿宋"/>
                <w:b w:val="0"/>
                <w:color w:val="auto"/>
                <w:sz w:val="28"/>
                <w:szCs w:val="28"/>
                <w:highlight w:val="none"/>
                <w:lang w:val="en-US" w:eastAsia="zh-CN"/>
              </w:rPr>
            </w:pPr>
            <w:r>
              <w:rPr>
                <w:rFonts w:ascii="仿宋" w:hAnsi="仿宋" w:eastAsia="仿宋" w:cs="仿宋"/>
                <w:b w:val="0"/>
                <w:color w:val="auto"/>
                <w:sz w:val="28"/>
                <w:szCs w:val="28"/>
                <w:highlight w:val="none"/>
                <w:lang w:val="en-US" w:eastAsia="zh-CN"/>
              </w:rPr>
              <w:t>2.密封情况检查：供应商签到的前三名</w:t>
            </w:r>
            <w:r>
              <w:rPr>
                <w:rFonts w:hint="eastAsia" w:ascii="仿宋" w:hAnsi="仿宋" w:eastAsia="仿宋" w:cs="仿宋"/>
                <w:b w:val="0"/>
                <w:color w:val="auto"/>
                <w:sz w:val="28"/>
                <w:szCs w:val="28"/>
                <w:highlight w:val="none"/>
                <w:lang w:val="en-US" w:eastAsia="zh-CN"/>
              </w:rPr>
              <w:t>，</w:t>
            </w:r>
            <w:r>
              <w:rPr>
                <w:rFonts w:ascii="仿宋" w:hAnsi="仿宋" w:eastAsia="仿宋" w:cs="仿宋"/>
                <w:b w:val="0"/>
                <w:color w:val="auto"/>
                <w:sz w:val="28"/>
                <w:szCs w:val="28"/>
                <w:highlight w:val="none"/>
                <w:lang w:val="en-US" w:eastAsia="zh-CN"/>
              </w:rPr>
              <w:t>代表所有供应商检查标书密封情况。</w:t>
            </w:r>
          </w:p>
          <w:p w14:paraId="676B52CC">
            <w:pPr>
              <w:pStyle w:val="2"/>
              <w:spacing w:line="380" w:lineRule="exact"/>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lang w:val="en-US" w:eastAsia="zh-CN"/>
              </w:rPr>
              <w:t>3.开标顺序：按投标文件签到、递交先后顺序进行。</w:t>
            </w:r>
          </w:p>
        </w:tc>
      </w:tr>
      <w:tr w14:paraId="0CFA6B1B">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3C118C2B">
            <w:pPr>
              <w:spacing w:line="380" w:lineRule="exact"/>
              <w:jc w:val="center"/>
              <w:outlineLvl w:val="0"/>
              <w:rPr>
                <w:rFonts w:ascii="仿宋" w:hAnsi="仿宋" w:eastAsia="仿宋" w:cs="仿宋"/>
                <w:color w:val="auto"/>
                <w:kern w:val="0"/>
                <w:sz w:val="28"/>
                <w:szCs w:val="28"/>
                <w:highlight w:val="none"/>
              </w:rPr>
            </w:pPr>
            <w:bookmarkStart w:id="485" w:name="_Toc19570"/>
            <w:bookmarkStart w:id="486" w:name="_Toc19763"/>
            <w:bookmarkStart w:id="487" w:name="_Toc144969037"/>
            <w:bookmarkStart w:id="488" w:name="_Toc143449725"/>
            <w:bookmarkStart w:id="489" w:name="_Toc143449003"/>
            <w:r>
              <w:rPr>
                <w:rFonts w:hint="eastAsia" w:ascii="仿宋" w:hAnsi="仿宋" w:eastAsia="仿宋" w:cs="仿宋"/>
                <w:color w:val="auto"/>
                <w:kern w:val="0"/>
                <w:sz w:val="28"/>
                <w:szCs w:val="28"/>
                <w:highlight w:val="none"/>
              </w:rPr>
              <w:t>3</w:t>
            </w:r>
            <w:bookmarkEnd w:id="485"/>
            <w:bookmarkEnd w:id="486"/>
            <w:r>
              <w:rPr>
                <w:rFonts w:hint="eastAsia" w:ascii="仿宋" w:hAnsi="仿宋" w:eastAsia="仿宋" w:cs="仿宋"/>
                <w:color w:val="auto"/>
                <w:kern w:val="0"/>
                <w:sz w:val="28"/>
                <w:szCs w:val="28"/>
                <w:highlight w:val="none"/>
              </w:rPr>
              <w:t>2</w:t>
            </w:r>
            <w:bookmarkEnd w:id="487"/>
            <w:bookmarkEnd w:id="488"/>
            <w:bookmarkEnd w:id="48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6CB1206F">
            <w:pPr>
              <w:pStyle w:val="2"/>
              <w:spacing w:line="380" w:lineRule="exact"/>
              <w:jc w:val="center"/>
              <w:rPr>
                <w:rFonts w:hint="default" w:ascii="仿宋" w:hAnsi="仿宋" w:eastAsia="仿宋" w:cs="仿宋"/>
                <w:b w:val="0"/>
                <w:color w:val="auto"/>
                <w:sz w:val="28"/>
                <w:szCs w:val="28"/>
                <w:highlight w:val="none"/>
              </w:rPr>
            </w:pPr>
            <w:bookmarkStart w:id="490" w:name="_Toc2310"/>
            <w:bookmarkEnd w:id="490"/>
            <w:bookmarkStart w:id="491" w:name="_Toc29648"/>
            <w:bookmarkEnd w:id="491"/>
            <w:bookmarkStart w:id="492" w:name="_Toc18200"/>
            <w:bookmarkEnd w:id="492"/>
            <w:bookmarkStart w:id="493" w:name="_Toc16585"/>
            <w:bookmarkEnd w:id="493"/>
            <w:bookmarkStart w:id="494" w:name="_Toc17186"/>
            <w:bookmarkStart w:id="495" w:name="_Toc143449726"/>
            <w:bookmarkStart w:id="496" w:name="_Toc28102"/>
            <w:bookmarkStart w:id="497" w:name="_Toc144969038"/>
            <w:bookmarkStart w:id="498" w:name="_Toc143449004"/>
            <w:r>
              <w:rPr>
                <w:rFonts w:ascii="仿宋" w:hAnsi="仿宋" w:eastAsia="仿宋" w:cs="仿宋"/>
                <w:b w:val="0"/>
                <w:color w:val="auto"/>
                <w:sz w:val="28"/>
                <w:szCs w:val="28"/>
                <w:highlight w:val="none"/>
              </w:rPr>
              <w:t>磋商小组的组建</w:t>
            </w:r>
            <w:bookmarkEnd w:id="494"/>
            <w:bookmarkEnd w:id="495"/>
            <w:bookmarkEnd w:id="496"/>
            <w:bookmarkEnd w:id="497"/>
            <w:bookmarkEnd w:id="498"/>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50E7AB2E">
            <w:pPr>
              <w:pStyle w:val="2"/>
              <w:spacing w:line="380" w:lineRule="exact"/>
              <w:jc w:val="both"/>
              <w:rPr>
                <w:rFonts w:hint="eastAsia" w:ascii="仿宋" w:hAnsi="仿宋" w:eastAsia="仿宋" w:cs="仿宋"/>
                <w:b w:val="0"/>
                <w:color w:val="auto"/>
                <w:sz w:val="28"/>
                <w:szCs w:val="28"/>
                <w:highlight w:val="none"/>
                <w:lang w:eastAsia="zh-CN"/>
              </w:rPr>
            </w:pPr>
            <w:bookmarkStart w:id="499" w:name="_Toc23616"/>
            <w:bookmarkEnd w:id="499"/>
            <w:bookmarkStart w:id="500" w:name="_Toc4018"/>
            <w:bookmarkEnd w:id="500"/>
            <w:r>
              <w:rPr>
                <w:rFonts w:hint="eastAsia" w:ascii="仿宋" w:hAnsi="仿宋" w:eastAsia="仿宋" w:cs="仿宋"/>
                <w:b w:val="0"/>
                <w:bCs/>
                <w:color w:val="auto"/>
                <w:kern w:val="0"/>
                <w:sz w:val="28"/>
                <w:szCs w:val="28"/>
                <w:highlight w:val="none"/>
                <w:lang w:bidi="ar"/>
              </w:rPr>
              <w:t>磋商小组构成：磋商小组由采购人</w:t>
            </w:r>
            <w:r>
              <w:rPr>
                <w:rFonts w:hint="eastAsia" w:ascii="仿宋" w:hAnsi="仿宋" w:eastAsia="仿宋" w:cs="仿宋"/>
                <w:b w:val="0"/>
                <w:bCs/>
                <w:color w:val="auto"/>
                <w:kern w:val="0"/>
                <w:sz w:val="28"/>
                <w:szCs w:val="28"/>
                <w:highlight w:val="none"/>
                <w:lang w:val="en-US" w:eastAsia="zh-CN" w:bidi="ar"/>
              </w:rPr>
              <w:t>负责组建</w:t>
            </w:r>
            <w:r>
              <w:rPr>
                <w:rFonts w:hint="eastAsia" w:ascii="仿宋" w:hAnsi="仿宋" w:eastAsia="仿宋" w:cs="仿宋"/>
                <w:b w:val="0"/>
                <w:bCs/>
                <w:color w:val="auto"/>
                <w:kern w:val="0"/>
                <w:sz w:val="28"/>
                <w:szCs w:val="28"/>
                <w:highlight w:val="none"/>
                <w:lang w:bidi="ar"/>
              </w:rPr>
              <w:t>，3人或以上单数</w:t>
            </w:r>
            <w:r>
              <w:rPr>
                <w:rFonts w:hint="eastAsia" w:ascii="仿宋" w:hAnsi="仿宋" w:eastAsia="仿宋" w:cs="仿宋"/>
                <w:b w:val="0"/>
                <w:bCs/>
                <w:color w:val="auto"/>
                <w:kern w:val="0"/>
                <w:sz w:val="28"/>
                <w:szCs w:val="28"/>
                <w:highlight w:val="none"/>
                <w:lang w:eastAsia="zh-CN" w:bidi="ar"/>
              </w:rPr>
              <w:t>。</w:t>
            </w:r>
          </w:p>
        </w:tc>
      </w:tr>
      <w:tr w14:paraId="623FDA0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71C2571">
            <w:pPr>
              <w:spacing w:line="380" w:lineRule="exact"/>
              <w:jc w:val="center"/>
              <w:outlineLvl w:val="0"/>
              <w:rPr>
                <w:rFonts w:ascii="仿宋" w:hAnsi="仿宋" w:eastAsia="仿宋" w:cs="仿宋"/>
                <w:color w:val="auto"/>
                <w:kern w:val="0"/>
                <w:sz w:val="28"/>
                <w:szCs w:val="28"/>
                <w:highlight w:val="none"/>
              </w:rPr>
            </w:pPr>
            <w:bookmarkStart w:id="501" w:name="_Toc16525"/>
            <w:bookmarkStart w:id="502" w:name="_Toc13221"/>
            <w:bookmarkStart w:id="503" w:name="_Toc144969040"/>
            <w:bookmarkStart w:id="504" w:name="_Toc143449006"/>
            <w:bookmarkStart w:id="505" w:name="_Toc143449728"/>
            <w:r>
              <w:rPr>
                <w:rFonts w:hint="eastAsia" w:ascii="仿宋" w:hAnsi="仿宋" w:eastAsia="仿宋" w:cs="仿宋"/>
                <w:color w:val="auto"/>
                <w:kern w:val="0"/>
                <w:sz w:val="28"/>
                <w:szCs w:val="28"/>
                <w:highlight w:val="none"/>
              </w:rPr>
              <w:t>3</w:t>
            </w:r>
            <w:bookmarkEnd w:id="501"/>
            <w:bookmarkEnd w:id="502"/>
            <w:r>
              <w:rPr>
                <w:rFonts w:hint="eastAsia" w:ascii="仿宋" w:hAnsi="仿宋" w:eastAsia="仿宋" w:cs="仿宋"/>
                <w:color w:val="auto"/>
                <w:kern w:val="0"/>
                <w:sz w:val="28"/>
                <w:szCs w:val="28"/>
                <w:highlight w:val="none"/>
              </w:rPr>
              <w:t>3</w:t>
            </w:r>
            <w:bookmarkEnd w:id="503"/>
            <w:bookmarkEnd w:id="504"/>
            <w:bookmarkEnd w:id="505"/>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0186341">
            <w:pPr>
              <w:pStyle w:val="2"/>
              <w:spacing w:line="380" w:lineRule="exact"/>
              <w:rPr>
                <w:rFonts w:hint="default" w:ascii="仿宋" w:hAnsi="仿宋" w:eastAsia="仿宋" w:cs="仿宋"/>
                <w:b w:val="0"/>
                <w:color w:val="auto"/>
                <w:sz w:val="28"/>
                <w:szCs w:val="28"/>
                <w:highlight w:val="none"/>
              </w:rPr>
            </w:pPr>
            <w:bookmarkStart w:id="506" w:name="_Toc20317"/>
            <w:bookmarkEnd w:id="506"/>
            <w:bookmarkStart w:id="507" w:name="_Toc5049"/>
            <w:bookmarkEnd w:id="507"/>
            <w:bookmarkStart w:id="508" w:name="_Toc26546"/>
            <w:bookmarkEnd w:id="508"/>
            <w:bookmarkStart w:id="509" w:name="_Toc26722"/>
            <w:bookmarkEnd w:id="509"/>
            <w:bookmarkStart w:id="510" w:name="_Toc143449729"/>
            <w:bookmarkStart w:id="511" w:name="_Toc3698"/>
            <w:bookmarkStart w:id="512" w:name="_Toc144969041"/>
            <w:bookmarkStart w:id="513" w:name="_Toc143449007"/>
            <w:bookmarkStart w:id="514" w:name="_Toc11671"/>
            <w:r>
              <w:rPr>
                <w:rFonts w:ascii="仿宋" w:hAnsi="仿宋" w:eastAsia="仿宋" w:cs="仿宋"/>
                <w:b w:val="0"/>
                <w:color w:val="auto"/>
                <w:sz w:val="28"/>
                <w:szCs w:val="28"/>
                <w:highlight w:val="none"/>
              </w:rPr>
              <w:t>确定成交供应商</w:t>
            </w:r>
            <w:bookmarkEnd w:id="510"/>
            <w:bookmarkEnd w:id="511"/>
            <w:bookmarkEnd w:id="512"/>
            <w:bookmarkEnd w:id="513"/>
            <w:bookmarkEnd w:id="514"/>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E501B98">
            <w:pPr>
              <w:pStyle w:val="2"/>
              <w:spacing w:line="380" w:lineRule="exact"/>
              <w:jc w:val="both"/>
              <w:rPr>
                <w:rFonts w:hint="default" w:ascii="仿宋" w:hAnsi="仿宋" w:eastAsia="仿宋" w:cs="仿宋"/>
                <w:b w:val="0"/>
                <w:color w:val="auto"/>
                <w:sz w:val="28"/>
                <w:szCs w:val="28"/>
                <w:highlight w:val="none"/>
              </w:rPr>
            </w:pPr>
            <w:bookmarkStart w:id="515" w:name="_Toc21612"/>
            <w:bookmarkEnd w:id="515"/>
            <w:bookmarkStart w:id="516" w:name="_Toc25195"/>
            <w:bookmarkEnd w:id="516"/>
            <w:bookmarkStart w:id="517" w:name="_Toc26552"/>
            <w:bookmarkEnd w:id="517"/>
            <w:bookmarkStart w:id="518" w:name="_Toc21775"/>
            <w:bookmarkEnd w:id="518"/>
            <w:bookmarkStart w:id="519" w:name="_Toc143449730"/>
            <w:bookmarkStart w:id="520" w:name="_Toc143449008"/>
            <w:bookmarkStart w:id="521" w:name="_Toc144969042"/>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采购人授权磋商小组确定</w:t>
            </w:r>
            <w:bookmarkEnd w:id="519"/>
            <w:bookmarkEnd w:id="520"/>
            <w:bookmarkEnd w:id="521"/>
          </w:p>
          <w:p w14:paraId="40076446">
            <w:pPr>
              <w:pStyle w:val="2"/>
              <w:spacing w:line="380" w:lineRule="exact"/>
              <w:jc w:val="both"/>
              <w:rPr>
                <w:rFonts w:hint="default" w:ascii="仿宋" w:hAnsi="仿宋" w:eastAsia="仿宋" w:cs="仿宋"/>
                <w:color w:val="auto"/>
                <w:sz w:val="28"/>
                <w:szCs w:val="28"/>
                <w:highlight w:val="none"/>
              </w:rPr>
            </w:pPr>
            <w:bookmarkStart w:id="522" w:name="_Toc144969043"/>
            <w:bookmarkStart w:id="523" w:name="_Toc143449009"/>
            <w:bookmarkStart w:id="524" w:name="_Toc143449731"/>
            <w:r>
              <w:rPr>
                <w:rFonts w:ascii="仿宋" w:hAnsi="仿宋" w:eastAsia="仿宋" w:cs="仿宋"/>
                <w:b w:val="0"/>
                <w:color w:val="auto"/>
                <w:sz w:val="28"/>
                <w:szCs w:val="28"/>
                <w:highlight w:val="none"/>
              </w:rPr>
              <w:t>□采购人确定</w:t>
            </w:r>
            <w:bookmarkEnd w:id="522"/>
            <w:bookmarkEnd w:id="523"/>
            <w:bookmarkEnd w:id="524"/>
          </w:p>
        </w:tc>
      </w:tr>
      <w:tr w14:paraId="134CF4B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673BF11C">
            <w:pPr>
              <w:spacing w:line="380" w:lineRule="exact"/>
              <w:jc w:val="center"/>
              <w:outlineLvl w:val="0"/>
              <w:rPr>
                <w:rFonts w:ascii="仿宋" w:hAnsi="仿宋" w:eastAsia="仿宋" w:cs="仿宋"/>
                <w:color w:val="auto"/>
                <w:kern w:val="0"/>
                <w:sz w:val="28"/>
                <w:szCs w:val="28"/>
                <w:highlight w:val="none"/>
              </w:rPr>
            </w:pPr>
            <w:bookmarkStart w:id="525" w:name="_Toc143449732"/>
            <w:bookmarkStart w:id="526" w:name="_Toc144969044"/>
            <w:bookmarkStart w:id="527" w:name="_Toc143449010"/>
            <w:r>
              <w:rPr>
                <w:rFonts w:hint="eastAsia" w:ascii="仿宋" w:hAnsi="仿宋" w:eastAsia="仿宋" w:cs="仿宋"/>
                <w:color w:val="auto"/>
                <w:kern w:val="0"/>
                <w:sz w:val="28"/>
                <w:szCs w:val="28"/>
                <w:highlight w:val="none"/>
              </w:rPr>
              <w:t>34</w:t>
            </w:r>
            <w:bookmarkEnd w:id="525"/>
            <w:bookmarkEnd w:id="526"/>
            <w:bookmarkEnd w:id="527"/>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3AC7F51">
            <w:pPr>
              <w:pStyle w:val="2"/>
              <w:spacing w:line="380" w:lineRule="exact"/>
              <w:jc w:val="center"/>
              <w:rPr>
                <w:rFonts w:hint="default" w:ascii="仿宋" w:hAnsi="仿宋" w:eastAsia="仿宋" w:cs="仿宋"/>
                <w:b w:val="0"/>
                <w:color w:val="auto"/>
                <w:sz w:val="28"/>
                <w:szCs w:val="28"/>
                <w:highlight w:val="none"/>
              </w:rPr>
            </w:pPr>
            <w:bookmarkStart w:id="528" w:name="_Toc143449011"/>
            <w:bookmarkStart w:id="529" w:name="_Toc13978"/>
            <w:bookmarkStart w:id="530" w:name="_Toc144969045"/>
            <w:bookmarkStart w:id="531" w:name="_Toc143449733"/>
            <w:bookmarkStart w:id="532" w:name="_Toc15840"/>
            <w:r>
              <w:rPr>
                <w:rFonts w:ascii="仿宋" w:hAnsi="仿宋" w:eastAsia="仿宋" w:cs="仿宋"/>
                <w:b w:val="0"/>
                <w:color w:val="auto"/>
                <w:sz w:val="28"/>
                <w:szCs w:val="28"/>
                <w:highlight w:val="none"/>
              </w:rPr>
              <w:t>最高限价</w:t>
            </w:r>
            <w:bookmarkEnd w:id="528"/>
            <w:bookmarkEnd w:id="529"/>
            <w:bookmarkEnd w:id="530"/>
            <w:bookmarkEnd w:id="531"/>
            <w:bookmarkEnd w:id="532"/>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3D34505A">
            <w:pPr>
              <w:pStyle w:val="2"/>
              <w:spacing w:line="380" w:lineRule="exact"/>
              <w:jc w:val="both"/>
              <w:rPr>
                <w:rFonts w:hint="default" w:ascii="仿宋" w:hAnsi="仿宋" w:eastAsia="仿宋" w:cs="仿宋"/>
                <w:b w:val="0"/>
                <w:color w:val="auto"/>
                <w:sz w:val="28"/>
                <w:szCs w:val="28"/>
                <w:highlight w:val="none"/>
              </w:rPr>
            </w:pPr>
            <w:bookmarkStart w:id="533" w:name="_Toc143449734"/>
            <w:bookmarkStart w:id="534" w:name="_Toc143449012"/>
            <w:bookmarkStart w:id="535" w:name="_Toc144969046"/>
            <w:bookmarkStart w:id="536" w:name="_Toc5636"/>
            <w:bookmarkStart w:id="537" w:name="_Toc28554"/>
            <w:r>
              <w:rPr>
                <w:rFonts w:hint="eastAsia" w:ascii="仿宋" w:hAnsi="仿宋" w:eastAsia="仿宋" w:cs="仿宋"/>
                <w:b w:val="0"/>
                <w:color w:val="auto"/>
                <w:sz w:val="28"/>
                <w:szCs w:val="28"/>
                <w:highlight w:val="none"/>
                <w:lang w:eastAsia="zh-CN"/>
              </w:rPr>
              <w:t>2460000</w:t>
            </w:r>
            <w:r>
              <w:rPr>
                <w:rFonts w:ascii="仿宋" w:hAnsi="仿宋" w:eastAsia="仿宋" w:cs="仿宋"/>
                <w:b w:val="0"/>
                <w:color w:val="auto"/>
                <w:sz w:val="28"/>
                <w:szCs w:val="28"/>
                <w:highlight w:val="none"/>
              </w:rPr>
              <w:t>元（超过此限价按无效标处理）</w:t>
            </w:r>
            <w:bookmarkEnd w:id="533"/>
            <w:bookmarkEnd w:id="534"/>
            <w:bookmarkEnd w:id="535"/>
            <w:bookmarkEnd w:id="536"/>
            <w:bookmarkEnd w:id="537"/>
          </w:p>
        </w:tc>
      </w:tr>
      <w:tr w14:paraId="4ADFB59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2CDD071">
            <w:pPr>
              <w:spacing w:line="380" w:lineRule="exact"/>
              <w:jc w:val="center"/>
              <w:outlineLvl w:val="0"/>
              <w:rPr>
                <w:rFonts w:ascii="仿宋" w:hAnsi="仿宋" w:eastAsia="仿宋" w:cs="仿宋"/>
                <w:color w:val="auto"/>
                <w:kern w:val="0"/>
                <w:sz w:val="28"/>
                <w:szCs w:val="28"/>
                <w:highlight w:val="none"/>
              </w:rPr>
            </w:pPr>
            <w:bookmarkStart w:id="538" w:name="_Toc144969047"/>
            <w:bookmarkStart w:id="539" w:name="_Toc143449013"/>
            <w:bookmarkStart w:id="540" w:name="_Toc143449735"/>
            <w:r>
              <w:rPr>
                <w:rFonts w:hint="eastAsia" w:ascii="仿宋" w:hAnsi="仿宋" w:eastAsia="仿宋" w:cs="仿宋"/>
                <w:color w:val="auto"/>
                <w:kern w:val="0"/>
                <w:sz w:val="28"/>
                <w:szCs w:val="28"/>
                <w:highlight w:val="none"/>
              </w:rPr>
              <w:t>35</w:t>
            </w:r>
            <w:bookmarkEnd w:id="538"/>
            <w:bookmarkEnd w:id="539"/>
            <w:bookmarkEnd w:id="540"/>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66F0BFB3">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促进中小企业发展政策</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7DD41B5B">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 依据《安徽省财政厅安徽省经济和信息化厅转发财政部 工业和信息化部关于印发〈政府采购促进中小企业发展管理办法〉的通知》（皖财购〔2020〕1668号）规定，在政府采购活动中，供应商提供的工程符合下列情形的，享受本办法规定的中小企业扶持政策：在工程采购项目中，工程由中小企业承建，即工程施工单位为中小企业。</w:t>
            </w:r>
          </w:p>
          <w:p w14:paraId="26172320">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以联合体形式参加政府采购活动，联合体各方均为中小企业的，联合体视同中小企业。其中，联合体各方均为小微企业的，联合体视同小微企业。</w:t>
            </w:r>
          </w:p>
          <w:p w14:paraId="3A67C369">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2.中小企业应当在响应文件中提供磋商文件规定格式的《中小企业声明函》，并对其真实性负责。《中小企业声明函》将随成交公告一并公示接受监督，一旦发现弄虚作假，全部责任由供应商自负。</w:t>
            </w:r>
          </w:p>
          <w:p w14:paraId="72EB0160">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 依据《安徽省财政厅 安徽省经济和信息化厅转发财政部 工业和信息化部关于印发〈政府采购促进中小企业发展管理办法〉的通知》（皖财购〔2020〕1668号）、《安徽省财政厅关于进一步优化政府采购营商环境的通知》（皖财购〔2022〕556号）规定，本项目专门面向中小企业采购，不对小微企业报价给予扣除参加评审。</w:t>
            </w:r>
          </w:p>
          <w:p w14:paraId="72F7B476">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4.依据《财政部 司法部关于政府采购支持监狱企业发展有关问题的通知》（财库〔2014〕68号）规定，监狱企业视同小型、微型企业享受预留份额、评审中价格扣除等政府采购促进中小企业发展的政府采购政策。监狱企业参加政府采购活动时，提供由省级以上监狱管理局、戒毒管理局（含新疆生产建设兵团）出具的属于监狱企业的证明文件。</w:t>
            </w:r>
          </w:p>
          <w:p w14:paraId="72A34193">
            <w:pPr>
              <w:pStyle w:val="27"/>
              <w:spacing w:after="0" w:line="380" w:lineRule="exact"/>
              <w:ind w:left="0" w:leftChars="0" w:firstLine="0" w:firstLine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5.依据《财政部 民政部 中国残疾人联合会关于促进残疾人就业政府采购政策的通知》（财库〔2017〕141号）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tc>
      </w:tr>
      <w:tr w14:paraId="7BC216B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92A4426">
            <w:pPr>
              <w:spacing w:line="380" w:lineRule="exact"/>
              <w:jc w:val="center"/>
              <w:outlineLvl w:val="0"/>
              <w:rPr>
                <w:rFonts w:ascii="仿宋" w:hAnsi="仿宋" w:eastAsia="仿宋" w:cs="仿宋"/>
                <w:color w:val="auto"/>
                <w:kern w:val="0"/>
                <w:sz w:val="28"/>
                <w:szCs w:val="28"/>
                <w:highlight w:val="none"/>
              </w:rPr>
            </w:pPr>
            <w:bookmarkStart w:id="541" w:name="_Toc143449014"/>
            <w:bookmarkStart w:id="542" w:name="_Toc143449736"/>
            <w:bookmarkStart w:id="543" w:name="_Toc144969048"/>
            <w:r>
              <w:rPr>
                <w:rFonts w:hint="eastAsia" w:ascii="仿宋" w:hAnsi="仿宋" w:eastAsia="仿宋" w:cs="仿宋"/>
                <w:color w:val="auto"/>
                <w:kern w:val="0"/>
                <w:sz w:val="28"/>
                <w:szCs w:val="28"/>
                <w:highlight w:val="none"/>
              </w:rPr>
              <w:t>36</w:t>
            </w:r>
            <w:bookmarkEnd w:id="541"/>
            <w:bookmarkEnd w:id="542"/>
            <w:bookmarkEnd w:id="543"/>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6BF91FF">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询标</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81BB8E2">
            <w:pPr>
              <w:shd w:val="clear" w:color="auto" w:fill="FFFFFF"/>
              <w:spacing w:line="380" w:lineRule="exact"/>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评标过程中各潜在投标供应商应保持手机畅通，请供应商在询标截止时间至少前5分钟提交回复。如因供应商原因造成未及时回复，供应商自行承担一切后果。如遇询标30分钟内未回复，由</w:t>
            </w:r>
            <w:r>
              <w:rPr>
                <w:rFonts w:hint="eastAsia" w:ascii="仿宋" w:hAnsi="仿宋" w:eastAsia="仿宋" w:cs="仿宋"/>
                <w:bCs/>
                <w:color w:val="auto"/>
                <w:sz w:val="28"/>
                <w:szCs w:val="28"/>
                <w:highlight w:val="none"/>
                <w:lang w:val="en-US" w:eastAsia="zh-CN"/>
              </w:rPr>
              <w:t>磋商</w:t>
            </w:r>
            <w:r>
              <w:rPr>
                <w:rFonts w:hint="eastAsia" w:ascii="仿宋" w:hAnsi="仿宋" w:eastAsia="仿宋" w:cs="仿宋"/>
                <w:bCs/>
                <w:color w:val="auto"/>
                <w:sz w:val="28"/>
                <w:szCs w:val="28"/>
                <w:highlight w:val="none"/>
              </w:rPr>
              <w:t>小组决定。</w:t>
            </w:r>
          </w:p>
        </w:tc>
      </w:tr>
      <w:tr w14:paraId="02371F73">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80D78BE">
            <w:pPr>
              <w:spacing w:line="380" w:lineRule="exact"/>
              <w:jc w:val="center"/>
              <w:outlineLvl w:val="0"/>
              <w:rPr>
                <w:rFonts w:ascii="仿宋" w:hAnsi="仿宋" w:eastAsia="仿宋" w:cs="仿宋"/>
                <w:color w:val="auto"/>
                <w:kern w:val="0"/>
                <w:sz w:val="28"/>
                <w:szCs w:val="28"/>
                <w:highlight w:val="none"/>
              </w:rPr>
            </w:pPr>
            <w:bookmarkStart w:id="544" w:name="_Toc143449015"/>
            <w:bookmarkStart w:id="545" w:name="_Toc143449737"/>
            <w:bookmarkStart w:id="546" w:name="_Toc144969049"/>
            <w:r>
              <w:rPr>
                <w:rFonts w:hint="eastAsia" w:ascii="仿宋" w:hAnsi="仿宋" w:eastAsia="仿宋" w:cs="仿宋"/>
                <w:color w:val="auto"/>
                <w:kern w:val="0"/>
                <w:sz w:val="28"/>
                <w:szCs w:val="28"/>
                <w:highlight w:val="none"/>
              </w:rPr>
              <w:t>37</w:t>
            </w:r>
            <w:bookmarkEnd w:id="544"/>
            <w:bookmarkEnd w:id="545"/>
            <w:bookmarkEnd w:id="546"/>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1BE2171">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评审原则</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BA0DABB">
            <w:pPr>
              <w:pStyle w:val="8"/>
              <w:spacing w:after="0"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tc>
      </w:tr>
      <w:tr w14:paraId="61B4EB93">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AFD5D76">
            <w:pPr>
              <w:spacing w:line="380" w:lineRule="exact"/>
              <w:jc w:val="center"/>
              <w:outlineLvl w:val="0"/>
              <w:rPr>
                <w:rFonts w:ascii="仿宋" w:hAnsi="仿宋" w:eastAsia="仿宋" w:cs="仿宋"/>
                <w:color w:val="auto"/>
                <w:kern w:val="0"/>
                <w:sz w:val="28"/>
                <w:szCs w:val="28"/>
                <w:highlight w:val="none"/>
              </w:rPr>
            </w:pPr>
            <w:bookmarkStart w:id="547" w:name="_Toc144969050"/>
            <w:bookmarkStart w:id="548" w:name="_Toc143449016"/>
            <w:bookmarkStart w:id="549" w:name="_Toc143449738"/>
            <w:r>
              <w:rPr>
                <w:rFonts w:hint="eastAsia" w:ascii="仿宋" w:hAnsi="仿宋" w:eastAsia="仿宋" w:cs="仿宋"/>
                <w:color w:val="auto"/>
                <w:kern w:val="0"/>
                <w:sz w:val="28"/>
                <w:szCs w:val="28"/>
                <w:highlight w:val="none"/>
              </w:rPr>
              <w:t>38</w:t>
            </w:r>
            <w:bookmarkEnd w:id="547"/>
            <w:bookmarkEnd w:id="548"/>
            <w:bookmarkEnd w:id="54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02BC8F12">
            <w:pPr>
              <w:widowControl/>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成交通知书发出的形式</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60CB54D">
            <w:pPr>
              <w:widowControl/>
              <w:spacing w:line="380" w:lineRule="exact"/>
              <w:jc w:val="left"/>
              <w:rPr>
                <w:rFonts w:ascii="仿宋" w:hAnsi="仿宋" w:eastAsia="仿宋" w:cs="仿宋"/>
                <w:bCs/>
                <w:color w:val="auto"/>
                <w:sz w:val="28"/>
                <w:szCs w:val="28"/>
                <w:highlight w:val="none"/>
              </w:rPr>
            </w:pPr>
            <w:r>
              <w:rPr>
                <w:rStyle w:val="48"/>
                <w:rFonts w:hint="eastAsia" w:ascii="仿宋" w:hAnsi="仿宋" w:eastAsia="仿宋" w:cs="仿宋"/>
                <w:color w:val="auto"/>
                <w:kern w:val="0"/>
                <w:sz w:val="28"/>
                <w:szCs w:val="28"/>
                <w:highlight w:val="none"/>
              </w:rPr>
              <w:t>☑书面</w:t>
            </w:r>
          </w:p>
        </w:tc>
      </w:tr>
      <w:tr w14:paraId="2E6133A2">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4364CA2">
            <w:pPr>
              <w:spacing w:line="380" w:lineRule="exact"/>
              <w:jc w:val="center"/>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39</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4FAE5E00">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成交结果公告</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66694DE">
            <w:pPr>
              <w:widowControl/>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公告方式：在发布磋商公告的媒介上发布本项目成交结果公告；</w:t>
            </w:r>
          </w:p>
          <w:p w14:paraId="72E43D40">
            <w:pPr>
              <w:widowControl/>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公告内容：采购人及采购代理机构的名称、地址、联系方式，项目名称和项目编号，成交人名称、地址和中标金额等。</w:t>
            </w:r>
          </w:p>
          <w:p w14:paraId="7FB66B6C">
            <w:pPr>
              <w:spacing w:line="380" w:lineRule="exact"/>
              <w:jc w:val="left"/>
              <w:rPr>
                <w:rStyle w:val="48"/>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成交结果公告期限：1个工作日。</w:t>
            </w:r>
          </w:p>
        </w:tc>
      </w:tr>
      <w:tr w14:paraId="33598818">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1A9A998">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40</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5E29179">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合同签订</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455666E4">
            <w:pPr>
              <w:spacing w:line="380" w:lineRule="exact"/>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自中标（成交）通知书发出之日起</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个工作日内（具体时间、地点见中标（成交）通知书）与采购人签订合同。无正当理由不得拒绝或者拖延合同签订。</w:t>
            </w:r>
          </w:p>
        </w:tc>
      </w:tr>
      <w:tr w14:paraId="7B1FF1B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CBED87F">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41</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0BCFBE26">
            <w:pPr>
              <w:pStyle w:val="2"/>
              <w:spacing w:line="380" w:lineRule="exact"/>
              <w:jc w:val="center"/>
              <w:rPr>
                <w:rFonts w:hint="default" w:ascii="仿宋" w:hAnsi="仿宋" w:eastAsia="仿宋" w:cs="仿宋"/>
                <w:b w:val="0"/>
                <w:bCs/>
                <w:color w:val="auto"/>
                <w:sz w:val="28"/>
                <w:szCs w:val="28"/>
                <w:highlight w:val="none"/>
              </w:rPr>
            </w:pPr>
            <w:bookmarkStart w:id="550" w:name="_Toc143449017"/>
            <w:bookmarkStart w:id="551" w:name="_Toc143449739"/>
            <w:bookmarkStart w:id="552" w:name="_Toc144969051"/>
            <w:r>
              <w:rPr>
                <w:rFonts w:ascii="仿宋" w:hAnsi="仿宋" w:eastAsia="仿宋" w:cs="仿宋"/>
                <w:b w:val="0"/>
                <w:color w:val="auto"/>
                <w:sz w:val="28"/>
                <w:szCs w:val="28"/>
                <w:highlight w:val="none"/>
              </w:rPr>
              <w:t>履约担保</w:t>
            </w:r>
            <w:bookmarkEnd w:id="550"/>
            <w:bookmarkEnd w:id="551"/>
            <w:bookmarkEnd w:id="552"/>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43150600">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□免收</w:t>
            </w:r>
          </w:p>
          <w:p w14:paraId="3C372F5D">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（按下列标准收取：</w:t>
            </w:r>
          </w:p>
          <w:p w14:paraId="041B06CF">
            <w:pPr>
              <w:pStyle w:val="62"/>
              <w:spacing w:before="0" w:beforeAutospacing="0" w:after="0" w:afterAutospacing="0" w:line="42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1.金额：合同价的</w:t>
            </w:r>
            <w:r>
              <w:rPr>
                <w:rFonts w:hint="eastAsia" w:ascii="仿宋" w:hAnsi="仿宋" w:eastAsia="仿宋" w:cs="仿宋"/>
                <w:b w:val="0"/>
                <w:bCs w:val="0"/>
                <w:color w:val="auto"/>
                <w:highlight w:val="none"/>
                <w:u w:val="single"/>
              </w:rPr>
              <w:t xml:space="preserve">  2  </w:t>
            </w:r>
            <w:r>
              <w:rPr>
                <w:rFonts w:hint="eastAsia" w:ascii="仿宋" w:hAnsi="仿宋" w:eastAsia="仿宋" w:cs="仿宋"/>
                <w:b w:val="0"/>
                <w:bCs w:val="0"/>
                <w:color w:val="auto"/>
                <w:highlight w:val="none"/>
              </w:rPr>
              <w:t>%。</w:t>
            </w:r>
          </w:p>
          <w:p w14:paraId="604850CF">
            <w:pPr>
              <w:pStyle w:val="50"/>
              <w:spacing w:before="0" w:beforeAutospacing="0" w:after="0" w:afterAutospacing="0" w:line="42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rPr>
              <w:t>2.履约保证金的形式：银行转账</w:t>
            </w:r>
          </w:p>
          <w:p w14:paraId="5E16C47D">
            <w:pPr>
              <w:pStyle w:val="62"/>
              <w:spacing w:before="0" w:beforeAutospacing="0" w:after="0" w:afterAutospacing="0" w:line="420" w:lineRule="exact"/>
              <w:jc w:val="both"/>
              <w:rPr>
                <w:rStyle w:val="48"/>
                <w:rFonts w:ascii="仿宋" w:hAnsi="仿宋" w:eastAsia="仿宋" w:cs="仿宋"/>
                <w:b w:val="0"/>
                <w:color w:val="auto"/>
                <w:sz w:val="28"/>
                <w:szCs w:val="28"/>
                <w:highlight w:val="none"/>
              </w:rPr>
            </w:pPr>
            <w:r>
              <w:rPr>
                <w:rStyle w:val="48"/>
                <w:rFonts w:hint="eastAsia" w:ascii="仿宋" w:hAnsi="仿宋" w:eastAsia="仿宋" w:cs="仿宋"/>
                <w:b w:val="0"/>
                <w:color w:val="auto"/>
                <w:sz w:val="28"/>
                <w:szCs w:val="28"/>
                <w:highlight w:val="none"/>
              </w:rPr>
              <w:t xml:space="preserve">3.收取单位：采购人 </w:t>
            </w:r>
          </w:p>
          <w:p w14:paraId="4AD4533A">
            <w:pPr>
              <w:pStyle w:val="62"/>
              <w:spacing w:before="0" w:beforeAutospacing="0" w:after="0" w:afterAutospacing="0" w:line="420" w:lineRule="exact"/>
              <w:jc w:val="both"/>
              <w:rPr>
                <w:rStyle w:val="48"/>
                <w:rFonts w:ascii="仿宋" w:hAnsi="仿宋" w:eastAsia="仿宋" w:cs="仿宋"/>
                <w:b w:val="0"/>
                <w:color w:val="auto"/>
                <w:sz w:val="28"/>
                <w:szCs w:val="28"/>
                <w:highlight w:val="none"/>
              </w:rPr>
            </w:pPr>
            <w:r>
              <w:rPr>
                <w:rStyle w:val="48"/>
                <w:rFonts w:hint="eastAsia" w:ascii="仿宋" w:hAnsi="仿宋" w:eastAsia="仿宋" w:cs="仿宋"/>
                <w:b w:val="0"/>
                <w:color w:val="auto"/>
                <w:sz w:val="28"/>
                <w:szCs w:val="28"/>
                <w:highlight w:val="none"/>
              </w:rPr>
              <w:t>4.递交时间：成交供应商应在中标通知书发出后，合同签订前，按照采购文件规定方式提交履约保证金。否则，采购人可以拒绝签订采购合同。</w:t>
            </w:r>
          </w:p>
          <w:p w14:paraId="7A557B11">
            <w:pPr>
              <w:pStyle w:val="44"/>
              <w:jc w:val="both"/>
              <w:rPr>
                <w:rFonts w:ascii="仿宋" w:hAnsi="仿宋" w:eastAsia="仿宋" w:cs="仿宋"/>
                <w:bCs/>
                <w:color w:val="auto"/>
                <w:sz w:val="28"/>
                <w:szCs w:val="28"/>
                <w:highlight w:val="none"/>
              </w:rPr>
            </w:pPr>
            <w:r>
              <w:rPr>
                <w:rFonts w:hint="eastAsia" w:ascii="仿宋" w:hAnsi="仿宋" w:eastAsia="仿宋" w:cs="仿宋"/>
                <w:snapToGrid w:val="0"/>
                <w:color w:val="auto"/>
                <w:sz w:val="28"/>
                <w:szCs w:val="28"/>
                <w:highlight w:val="none"/>
                <w:lang w:val="en-US" w:eastAsia="zh-CN"/>
              </w:rPr>
              <w:t>5</w:t>
            </w:r>
            <w:r>
              <w:rPr>
                <w:rFonts w:hint="eastAsia" w:ascii="仿宋" w:hAnsi="仿宋" w:eastAsia="仿宋" w:cs="仿宋"/>
                <w:snapToGrid w:val="0"/>
                <w:color w:val="auto"/>
                <w:sz w:val="28"/>
                <w:szCs w:val="28"/>
                <w:highlight w:val="none"/>
              </w:rPr>
              <w:t>.退还：签订采购合同时双方友好协商约定。</w:t>
            </w:r>
          </w:p>
        </w:tc>
      </w:tr>
      <w:tr w14:paraId="5C12BEC0">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07DAD779">
            <w:pPr>
              <w:spacing w:line="380" w:lineRule="exact"/>
              <w:jc w:val="center"/>
              <w:outlineLvl w:val="0"/>
              <w:rPr>
                <w:rFonts w:ascii="仿宋" w:hAnsi="仿宋" w:eastAsia="仿宋" w:cs="仿宋"/>
                <w:color w:val="auto"/>
                <w:kern w:val="0"/>
                <w:sz w:val="28"/>
                <w:szCs w:val="28"/>
                <w:highlight w:val="none"/>
              </w:rPr>
            </w:pPr>
            <w:bookmarkStart w:id="553" w:name="_Toc143449740"/>
            <w:bookmarkStart w:id="554" w:name="_Toc144969052"/>
            <w:bookmarkStart w:id="555" w:name="_Toc143449018"/>
            <w:r>
              <w:rPr>
                <w:rFonts w:hint="eastAsia" w:ascii="仿宋" w:hAnsi="仿宋" w:eastAsia="仿宋" w:cs="仿宋"/>
                <w:color w:val="auto"/>
                <w:kern w:val="0"/>
                <w:sz w:val="28"/>
                <w:szCs w:val="28"/>
                <w:highlight w:val="none"/>
              </w:rPr>
              <w:t>42</w:t>
            </w:r>
            <w:bookmarkEnd w:id="553"/>
            <w:bookmarkEnd w:id="554"/>
            <w:bookmarkEnd w:id="555"/>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02DBDAD">
            <w:pPr>
              <w:pStyle w:val="2"/>
              <w:spacing w:line="380" w:lineRule="exact"/>
              <w:jc w:val="center"/>
              <w:rPr>
                <w:rFonts w:hint="default" w:ascii="仿宋" w:hAnsi="仿宋" w:eastAsia="仿宋" w:cs="仿宋"/>
                <w:b w:val="0"/>
                <w:bCs/>
                <w:color w:val="auto"/>
                <w:sz w:val="28"/>
                <w:szCs w:val="28"/>
                <w:highlight w:val="none"/>
              </w:rPr>
            </w:pPr>
            <w:bookmarkStart w:id="556" w:name="_Toc143449019"/>
            <w:bookmarkStart w:id="557" w:name="_Toc144969053"/>
            <w:bookmarkStart w:id="558" w:name="_Toc143449741"/>
            <w:r>
              <w:rPr>
                <w:rFonts w:ascii="仿宋" w:hAnsi="仿宋" w:eastAsia="仿宋" w:cs="仿宋"/>
                <w:b w:val="0"/>
                <w:color w:val="auto"/>
                <w:sz w:val="28"/>
                <w:szCs w:val="28"/>
                <w:highlight w:val="none"/>
              </w:rPr>
              <w:t>代理服务费</w:t>
            </w:r>
            <w:bookmarkEnd w:id="556"/>
            <w:bookmarkEnd w:id="557"/>
            <w:bookmarkEnd w:id="558"/>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AF09A8D">
            <w:pPr>
              <w:pStyle w:val="50"/>
              <w:spacing w:before="0" w:beforeAutospacing="0" w:after="0" w:afterAutospacing="0" w:line="380" w:lineRule="exact"/>
              <w:jc w:val="both"/>
              <w:rPr>
                <w:rFonts w:ascii="仿宋" w:hAnsi="仿宋" w:eastAsia="仿宋" w:cs="仿宋"/>
                <w:b w:val="0"/>
                <w:snapToGrid w:val="0"/>
                <w:color w:val="auto"/>
                <w:highlight w:val="none"/>
              </w:rPr>
            </w:pPr>
            <w:r>
              <w:rPr>
                <w:rFonts w:hint="eastAsia" w:ascii="仿宋" w:hAnsi="仿宋" w:eastAsia="仿宋" w:cs="仿宋"/>
                <w:b w:val="0"/>
                <w:snapToGrid w:val="0"/>
                <w:color w:val="auto"/>
                <w:highlight w:val="none"/>
              </w:rPr>
              <w:t>金额：</w:t>
            </w:r>
          </w:p>
          <w:p w14:paraId="6AEB7139">
            <w:pPr>
              <w:pStyle w:val="50"/>
              <w:spacing w:before="0" w:beforeAutospacing="0" w:after="0" w:afterAutospacing="0" w:line="380" w:lineRule="exact"/>
              <w:jc w:val="both"/>
              <w:rPr>
                <w:rFonts w:ascii="仿宋" w:hAnsi="仿宋" w:eastAsia="仿宋" w:cs="仿宋"/>
                <w:b w:val="0"/>
                <w:snapToGrid w:val="0"/>
                <w:color w:val="auto"/>
                <w:highlight w:val="none"/>
              </w:rPr>
            </w:pPr>
            <w:r>
              <w:rPr>
                <w:rFonts w:hint="eastAsia" w:ascii="仿宋" w:hAnsi="仿宋" w:eastAsia="仿宋" w:cs="仿宋"/>
                <w:color w:val="auto"/>
                <w:highlight w:val="none"/>
              </w:rPr>
              <w:t>□</w:t>
            </w:r>
            <w:r>
              <w:rPr>
                <w:rFonts w:hint="eastAsia" w:ascii="仿宋" w:hAnsi="仿宋" w:eastAsia="仿宋" w:cs="仿宋"/>
                <w:b w:val="0"/>
                <w:snapToGrid w:val="0"/>
                <w:color w:val="auto"/>
                <w:highlight w:val="none"/>
              </w:rPr>
              <w:t>（免收)</w:t>
            </w:r>
          </w:p>
          <w:p w14:paraId="0D37E73E">
            <w:pPr>
              <w:pStyle w:val="50"/>
              <w:spacing w:before="0" w:beforeAutospacing="0" w:after="0" w:afterAutospacing="0" w:line="380" w:lineRule="exact"/>
              <w:jc w:val="left"/>
              <w:rPr>
                <w:rFonts w:ascii="仿宋" w:hAnsi="仿宋" w:eastAsia="仿宋" w:cs="仿宋"/>
                <w:b w:val="0"/>
                <w:snapToGrid w:val="0"/>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b w:val="0"/>
                <w:snapToGrid w:val="0"/>
                <w:color w:val="auto"/>
                <w:highlight w:val="none"/>
              </w:rPr>
              <w:t>（定额收取)：人民币</w:t>
            </w:r>
            <w:r>
              <w:rPr>
                <w:rFonts w:hint="eastAsia" w:ascii="仿宋" w:hAnsi="仿宋" w:eastAsia="仿宋" w:cs="仿宋"/>
                <w:b w:val="0"/>
                <w:snapToGrid w:val="0"/>
                <w:color w:val="auto"/>
                <w:highlight w:val="none"/>
                <w:u w:val="single"/>
                <w:lang w:val="en-US" w:eastAsia="zh-CN"/>
              </w:rPr>
              <w:t xml:space="preserve">     </w:t>
            </w:r>
            <w:r>
              <w:rPr>
                <w:rFonts w:hint="eastAsia" w:ascii="仿宋" w:hAnsi="仿宋" w:eastAsia="仿宋" w:cs="仿宋"/>
                <w:b w:val="0"/>
                <w:snapToGrid w:val="0"/>
                <w:color w:val="auto"/>
                <w:highlight w:val="none"/>
              </w:rPr>
              <w:t>元</w:t>
            </w:r>
          </w:p>
          <w:p w14:paraId="2ED2FA61">
            <w:pPr>
              <w:pStyle w:val="50"/>
              <w:spacing w:before="0" w:beforeAutospacing="0" w:after="0" w:afterAutospacing="0" w:line="380" w:lineRule="exact"/>
              <w:jc w:val="left"/>
              <w:rPr>
                <w:rFonts w:hint="eastAsia" w:ascii="仿宋" w:hAnsi="仿宋" w:eastAsia="仿宋" w:cs="仿宋"/>
                <w:b w:val="0"/>
                <w:snapToGrid w:val="0"/>
                <w:color w:val="auto"/>
                <w:highlight w:val="none"/>
              </w:rPr>
            </w:pPr>
            <w:r>
              <w:rPr>
                <w:rFonts w:hint="eastAsia" w:ascii="仿宋" w:hAnsi="仿宋" w:eastAsia="仿宋" w:cs="仿宋"/>
                <w:b w:val="0"/>
                <w:snapToGrid w:val="0"/>
                <w:color w:val="auto"/>
                <w:highlight w:val="none"/>
                <w:lang w:eastAsia="zh-CN"/>
              </w:rPr>
              <w:t>☑</w:t>
            </w:r>
            <w:r>
              <w:rPr>
                <w:rFonts w:hint="eastAsia" w:ascii="仿宋" w:hAnsi="仿宋" w:eastAsia="仿宋" w:cs="仿宋"/>
                <w:b w:val="0"/>
                <w:snapToGrid w:val="0"/>
                <w:color w:val="auto"/>
                <w:highlight w:val="none"/>
              </w:rPr>
              <w:t>按下列标准收取：</w:t>
            </w:r>
          </w:p>
          <w:p w14:paraId="3072B3B1">
            <w:pPr>
              <w:pStyle w:val="50"/>
              <w:spacing w:before="0" w:beforeAutospacing="0" w:after="0" w:afterAutospacing="0" w:line="380" w:lineRule="exact"/>
              <w:jc w:val="left"/>
              <w:rPr>
                <w:rFonts w:ascii="仿宋" w:hAnsi="仿宋" w:eastAsia="仿宋" w:cs="仿宋"/>
                <w:b w:val="0"/>
                <w:snapToGrid w:val="0"/>
                <w:color w:val="auto"/>
                <w:highlight w:val="none"/>
              </w:rPr>
            </w:pPr>
            <w:r>
              <w:rPr>
                <w:color w:val="auto"/>
                <w:highlight w:val="none"/>
              </w:rPr>
              <w:drawing>
                <wp:anchor distT="0" distB="0" distL="114300" distR="114300" simplePos="0" relativeHeight="251660288" behindDoc="0" locked="0" layoutInCell="1" allowOverlap="1">
                  <wp:simplePos x="0" y="0"/>
                  <wp:positionH relativeFrom="column">
                    <wp:posOffset>26035</wp:posOffset>
                  </wp:positionH>
                  <wp:positionV relativeFrom="paragraph">
                    <wp:posOffset>42545</wp:posOffset>
                  </wp:positionV>
                  <wp:extent cx="4215765" cy="2352675"/>
                  <wp:effectExtent l="0" t="0" r="13335"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215765" cy="2352675"/>
                          </a:xfrm>
                          <a:prstGeom prst="rect">
                            <a:avLst/>
                          </a:prstGeom>
                          <a:noFill/>
                          <a:ln>
                            <a:noFill/>
                          </a:ln>
                        </pic:spPr>
                      </pic:pic>
                    </a:graphicData>
                  </a:graphic>
                </wp:anchor>
              </w:drawing>
            </w:r>
            <w:r>
              <w:rPr>
                <w:rFonts w:hint="eastAsia" w:ascii="仿宋" w:hAnsi="仿宋" w:eastAsia="仿宋" w:cs="仿宋"/>
                <w:b w:val="0"/>
                <w:snapToGrid w:val="0"/>
                <w:color w:val="auto"/>
                <w:highlight w:val="none"/>
              </w:rPr>
              <w:t>招标代理服务收费按差额定率累进法计算。</w:t>
            </w:r>
          </w:p>
          <w:p w14:paraId="69E39484">
            <w:pPr>
              <w:pStyle w:val="50"/>
              <w:spacing w:before="0" w:beforeAutospacing="0" w:after="0" w:afterAutospacing="0" w:line="420" w:lineRule="exact"/>
              <w:jc w:val="left"/>
              <w:rPr>
                <w:rFonts w:ascii="仿宋" w:hAnsi="仿宋" w:eastAsia="仿宋" w:cs="仿宋"/>
                <w:b w:val="0"/>
                <w:color w:val="auto"/>
                <w:highlight w:val="none"/>
              </w:rPr>
            </w:pPr>
            <w:r>
              <w:rPr>
                <w:rFonts w:hint="eastAsia" w:ascii="仿宋" w:hAnsi="仿宋" w:eastAsia="仿宋" w:cs="仿宋"/>
                <w:b w:val="0"/>
                <w:color w:val="auto"/>
                <w:highlight w:val="none"/>
              </w:rPr>
              <w:t>1.</w:t>
            </w:r>
            <w:r>
              <w:rPr>
                <w:rFonts w:hint="eastAsia" w:ascii="仿宋" w:hAnsi="仿宋" w:eastAsia="仿宋" w:cs="仿宋"/>
                <w:b w:val="0"/>
                <w:color w:val="auto"/>
                <w:kern w:val="2"/>
                <w:highlight w:val="none"/>
                <w:shd w:val="clear" w:color="auto" w:fill="FFFFFF"/>
                <w:lang w:bidi="ar"/>
              </w:rPr>
              <w:t>代理服务费收费标准，（1）如中标价在100万-500万，则代理费=100万元×1.</w:t>
            </w:r>
            <w:r>
              <w:rPr>
                <w:rFonts w:hint="eastAsia" w:ascii="仿宋" w:hAnsi="仿宋" w:eastAsia="仿宋" w:cs="仿宋"/>
                <w:b w:val="0"/>
                <w:color w:val="auto"/>
                <w:kern w:val="2"/>
                <w:highlight w:val="none"/>
                <w:shd w:val="clear" w:color="auto" w:fill="FFFFFF"/>
                <w:lang w:val="en-US" w:eastAsia="zh-CN" w:bidi="ar"/>
              </w:rPr>
              <w:t>0</w:t>
            </w:r>
            <w:r>
              <w:rPr>
                <w:rFonts w:hint="eastAsia" w:ascii="仿宋" w:hAnsi="仿宋" w:eastAsia="仿宋" w:cs="仿宋"/>
                <w:b w:val="0"/>
                <w:color w:val="auto"/>
                <w:kern w:val="2"/>
                <w:highlight w:val="none"/>
                <w:shd w:val="clear" w:color="auto" w:fill="FFFFFF"/>
                <w:lang w:bidi="ar"/>
              </w:rPr>
              <w:t>% +（中标价－100万元）×0.</w:t>
            </w:r>
            <w:r>
              <w:rPr>
                <w:rFonts w:hint="eastAsia" w:ascii="仿宋" w:hAnsi="仿宋" w:eastAsia="仿宋" w:cs="仿宋"/>
                <w:b w:val="0"/>
                <w:color w:val="auto"/>
                <w:kern w:val="2"/>
                <w:highlight w:val="none"/>
                <w:shd w:val="clear" w:color="auto" w:fill="FFFFFF"/>
                <w:lang w:val="en-US" w:eastAsia="zh-CN" w:bidi="ar"/>
              </w:rPr>
              <w:t>7</w:t>
            </w:r>
            <w:r>
              <w:rPr>
                <w:rFonts w:hint="eastAsia" w:ascii="仿宋" w:hAnsi="仿宋" w:eastAsia="仿宋" w:cs="仿宋"/>
                <w:b w:val="0"/>
                <w:color w:val="auto"/>
                <w:kern w:val="2"/>
                <w:highlight w:val="none"/>
                <w:shd w:val="clear" w:color="auto" w:fill="FFFFFF"/>
                <w:lang w:bidi="ar"/>
              </w:rPr>
              <w:t>%；（2）如中标价在100万以内，则代理费=中标价×1.</w:t>
            </w:r>
            <w:r>
              <w:rPr>
                <w:rFonts w:hint="eastAsia" w:ascii="仿宋" w:hAnsi="仿宋" w:eastAsia="仿宋" w:cs="仿宋"/>
                <w:b w:val="0"/>
                <w:color w:val="auto"/>
                <w:kern w:val="2"/>
                <w:highlight w:val="none"/>
                <w:shd w:val="clear" w:color="auto" w:fill="FFFFFF"/>
                <w:lang w:val="en-US" w:eastAsia="zh-CN" w:bidi="ar"/>
              </w:rPr>
              <w:t>0</w:t>
            </w:r>
            <w:r>
              <w:rPr>
                <w:rFonts w:hint="eastAsia" w:ascii="仿宋" w:hAnsi="仿宋" w:eastAsia="仿宋" w:cs="仿宋"/>
                <w:b w:val="0"/>
                <w:color w:val="auto"/>
                <w:kern w:val="2"/>
                <w:highlight w:val="none"/>
                <w:shd w:val="clear" w:color="auto" w:fill="FFFFFF"/>
                <w:lang w:bidi="ar"/>
              </w:rPr>
              <w:t>% （3）如代理费计算低于3000元的按3000元支付，代理服务费</w:t>
            </w:r>
            <w:r>
              <w:rPr>
                <w:rFonts w:hint="eastAsia" w:ascii="仿宋" w:hAnsi="仿宋" w:eastAsia="仿宋" w:cs="仿宋"/>
                <w:b w:val="0"/>
                <w:color w:val="auto"/>
                <w:highlight w:val="none"/>
              </w:rPr>
              <w:t>由</w:t>
            </w:r>
            <w:r>
              <w:rPr>
                <w:rFonts w:hint="eastAsia" w:ascii="仿宋" w:hAnsi="仿宋" w:eastAsia="仿宋" w:cs="仿宋"/>
                <w:b w:val="0"/>
                <w:color w:val="auto"/>
                <w:highlight w:val="none"/>
                <w:lang w:val="en-US" w:eastAsia="zh-CN"/>
              </w:rPr>
              <w:t>成交供应商</w:t>
            </w:r>
            <w:r>
              <w:rPr>
                <w:rFonts w:hint="eastAsia" w:ascii="仿宋" w:hAnsi="仿宋" w:eastAsia="仿宋" w:cs="仿宋"/>
                <w:b w:val="0"/>
                <w:color w:val="auto"/>
                <w:highlight w:val="none"/>
              </w:rPr>
              <w:t>签订合同前一次性支付给代理机构。</w:t>
            </w:r>
          </w:p>
          <w:p w14:paraId="038D0C27">
            <w:pPr>
              <w:pStyle w:val="50"/>
              <w:spacing w:before="0" w:beforeAutospacing="0" w:after="0" w:afterAutospacing="0" w:line="420" w:lineRule="exact"/>
              <w:jc w:val="left"/>
              <w:rPr>
                <w:rFonts w:ascii="仿宋" w:hAnsi="仿宋" w:eastAsia="仿宋" w:cs="仿宋"/>
                <w:b w:val="0"/>
                <w:snapToGrid w:val="0"/>
                <w:color w:val="auto"/>
                <w:highlight w:val="none"/>
              </w:rPr>
            </w:pPr>
            <w:r>
              <w:rPr>
                <w:rFonts w:hint="eastAsia" w:ascii="仿宋" w:hAnsi="仿宋" w:eastAsia="仿宋" w:cs="仿宋"/>
                <w:b w:val="0"/>
                <w:snapToGrid w:val="0"/>
                <w:color w:val="auto"/>
                <w:highlight w:val="none"/>
                <w:lang w:val="en-US" w:eastAsia="zh-CN"/>
              </w:rPr>
              <w:t>2</w:t>
            </w:r>
            <w:r>
              <w:rPr>
                <w:rFonts w:hint="eastAsia" w:ascii="仿宋" w:hAnsi="仿宋" w:eastAsia="仿宋" w:cs="仿宋"/>
                <w:b w:val="0"/>
                <w:snapToGrid w:val="0"/>
                <w:color w:val="auto"/>
                <w:highlight w:val="none"/>
              </w:rPr>
              <w:t>.支付方式：</w:t>
            </w:r>
            <w:r>
              <w:rPr>
                <w:rFonts w:hint="eastAsia" w:ascii="仿宋" w:hAnsi="仿宋" w:eastAsia="仿宋" w:cs="仿宋"/>
                <w:b w:val="0"/>
                <w:snapToGrid w:val="0"/>
                <w:color w:val="auto"/>
                <w:highlight w:val="none"/>
                <w:u w:val="single"/>
              </w:rPr>
              <w:t xml:space="preserve">        转账或现金          </w:t>
            </w:r>
          </w:p>
          <w:p w14:paraId="478E988B">
            <w:pPr>
              <w:pStyle w:val="50"/>
              <w:spacing w:before="0" w:beforeAutospacing="0" w:after="0" w:afterAutospacing="0" w:line="420" w:lineRule="exact"/>
              <w:jc w:val="left"/>
              <w:rPr>
                <w:rFonts w:ascii="仿宋" w:hAnsi="仿宋" w:eastAsia="仿宋" w:cs="仿宋"/>
                <w:b w:val="0"/>
                <w:snapToGrid w:val="0"/>
                <w:color w:val="auto"/>
                <w:highlight w:val="none"/>
                <w:u w:val="single"/>
              </w:rPr>
            </w:pPr>
            <w:r>
              <w:rPr>
                <w:rFonts w:hint="eastAsia" w:ascii="仿宋" w:hAnsi="仿宋" w:eastAsia="仿宋" w:cs="仿宋"/>
                <w:b w:val="0"/>
                <w:snapToGrid w:val="0"/>
                <w:color w:val="auto"/>
                <w:highlight w:val="none"/>
                <w:lang w:val="en-US" w:eastAsia="zh-CN"/>
              </w:rPr>
              <w:t>3</w:t>
            </w:r>
            <w:r>
              <w:rPr>
                <w:rFonts w:hint="eastAsia" w:ascii="仿宋" w:hAnsi="仿宋" w:eastAsia="仿宋" w:cs="仿宋"/>
                <w:b w:val="0"/>
                <w:snapToGrid w:val="0"/>
                <w:color w:val="auto"/>
                <w:highlight w:val="none"/>
              </w:rPr>
              <w:t>.收取单位：</w:t>
            </w:r>
            <w:r>
              <w:rPr>
                <w:rFonts w:hint="eastAsia" w:ascii="仿宋" w:hAnsi="仿宋" w:eastAsia="仿宋" w:cs="仿宋"/>
                <w:b w:val="0"/>
                <w:snapToGrid w:val="0"/>
                <w:color w:val="auto"/>
                <w:highlight w:val="none"/>
                <w:u w:val="single"/>
              </w:rPr>
              <w:t>淮南市安泰工程咨询有限公司</w:t>
            </w:r>
          </w:p>
          <w:p w14:paraId="7153DF1D">
            <w:pPr>
              <w:pStyle w:val="50"/>
              <w:spacing w:before="0" w:beforeAutospacing="0" w:after="0" w:afterAutospacing="0" w:line="380" w:lineRule="exact"/>
              <w:jc w:val="left"/>
              <w:rPr>
                <w:rFonts w:ascii="仿宋" w:hAnsi="仿宋" w:eastAsia="仿宋" w:cs="仿宋"/>
                <w:b w:val="0"/>
                <w:bCs w:val="0"/>
                <w:color w:val="auto"/>
                <w:highlight w:val="none"/>
              </w:rPr>
            </w:pPr>
            <w:r>
              <w:rPr>
                <w:rFonts w:hint="eastAsia" w:ascii="仿宋" w:hAnsi="仿宋" w:eastAsia="仿宋" w:cs="仿宋"/>
                <w:b w:val="0"/>
                <w:snapToGrid w:val="0"/>
                <w:color w:val="auto"/>
                <w:highlight w:val="none"/>
                <w:lang w:val="en-US" w:eastAsia="zh-CN"/>
              </w:rPr>
              <w:t>4</w:t>
            </w:r>
            <w:r>
              <w:rPr>
                <w:rFonts w:hint="eastAsia" w:ascii="仿宋" w:hAnsi="仿宋" w:eastAsia="仿宋" w:cs="仿宋"/>
                <w:b w:val="0"/>
                <w:snapToGrid w:val="0"/>
                <w:color w:val="auto"/>
                <w:highlight w:val="none"/>
              </w:rPr>
              <w:t>.递交时间：</w:t>
            </w:r>
            <w:r>
              <w:rPr>
                <w:rFonts w:hint="eastAsia" w:ascii="仿宋" w:hAnsi="仿宋" w:eastAsia="仿宋" w:cs="仿宋"/>
                <w:b w:val="0"/>
                <w:snapToGrid w:val="0"/>
                <w:color w:val="auto"/>
                <w:highlight w:val="none"/>
                <w:u w:val="single"/>
              </w:rPr>
              <w:t xml:space="preserve">     公示结束后合同公开前   </w:t>
            </w:r>
          </w:p>
        </w:tc>
      </w:tr>
      <w:tr w14:paraId="593A95DB">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35C062F">
            <w:pPr>
              <w:spacing w:line="380" w:lineRule="exact"/>
              <w:jc w:val="center"/>
              <w:outlineLvl w:val="0"/>
              <w:rPr>
                <w:rFonts w:ascii="仿宋" w:hAnsi="仿宋" w:eastAsia="仿宋" w:cs="仿宋"/>
                <w:color w:val="auto"/>
                <w:kern w:val="0"/>
                <w:sz w:val="28"/>
                <w:szCs w:val="28"/>
                <w:highlight w:val="none"/>
              </w:rPr>
            </w:pPr>
            <w:bookmarkStart w:id="559" w:name="_Toc143449742"/>
            <w:bookmarkStart w:id="560" w:name="_Toc143449020"/>
            <w:bookmarkStart w:id="561" w:name="_Toc144969054"/>
            <w:r>
              <w:rPr>
                <w:rFonts w:hint="eastAsia" w:ascii="仿宋" w:hAnsi="仿宋" w:eastAsia="仿宋" w:cs="仿宋"/>
                <w:color w:val="auto"/>
                <w:kern w:val="0"/>
                <w:sz w:val="28"/>
                <w:szCs w:val="28"/>
                <w:highlight w:val="none"/>
              </w:rPr>
              <w:t>43</w:t>
            </w:r>
            <w:bookmarkEnd w:id="559"/>
            <w:bookmarkEnd w:id="560"/>
            <w:bookmarkEnd w:id="561"/>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C8A566D">
            <w:pPr>
              <w:pStyle w:val="2"/>
              <w:spacing w:line="380" w:lineRule="exact"/>
              <w:ind w:firstLine="560" w:firstLineChars="200"/>
              <w:jc w:val="both"/>
              <w:rPr>
                <w:rFonts w:hint="default" w:ascii="仿宋" w:hAnsi="仿宋" w:eastAsia="仿宋" w:cs="仿宋"/>
                <w:b w:val="0"/>
                <w:color w:val="auto"/>
                <w:kern w:val="2"/>
                <w:sz w:val="28"/>
                <w:szCs w:val="28"/>
                <w:highlight w:val="none"/>
              </w:rPr>
            </w:pPr>
            <w:bookmarkStart w:id="562" w:name="_Toc2629"/>
            <w:bookmarkStart w:id="563" w:name="_Toc143449743"/>
            <w:bookmarkStart w:id="564" w:name="_Toc143449021"/>
            <w:bookmarkStart w:id="565" w:name="_Toc23002"/>
            <w:bookmarkStart w:id="566" w:name="_Toc144969055"/>
            <w:r>
              <w:rPr>
                <w:rFonts w:ascii="仿宋" w:hAnsi="仿宋" w:eastAsia="仿宋" w:cs="仿宋"/>
                <w:b w:val="0"/>
                <w:color w:val="auto"/>
                <w:kern w:val="2"/>
                <w:sz w:val="28"/>
                <w:szCs w:val="28"/>
                <w:highlight w:val="none"/>
              </w:rPr>
              <w:t>付款方式</w:t>
            </w:r>
            <w:bookmarkEnd w:id="562"/>
            <w:bookmarkEnd w:id="563"/>
            <w:bookmarkEnd w:id="564"/>
            <w:bookmarkEnd w:id="565"/>
            <w:bookmarkEnd w:id="566"/>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33D6C875">
            <w:pPr>
              <w:pStyle w:val="44"/>
              <w:spacing w:line="380" w:lineRule="exact"/>
              <w:jc w:val="both"/>
              <w:rPr>
                <w:rFonts w:ascii="仿宋" w:hAnsi="仿宋" w:eastAsia="仿宋" w:cs="仿宋"/>
                <w:color w:val="auto"/>
                <w:kern w:val="2"/>
                <w:sz w:val="28"/>
                <w:szCs w:val="28"/>
                <w:highlight w:val="none"/>
              </w:rPr>
            </w:pPr>
            <w:r>
              <w:rPr>
                <w:rFonts w:hint="eastAsia" w:ascii="仿宋" w:hAnsi="仿宋" w:eastAsia="仿宋" w:cs="仿宋"/>
                <w:color w:val="auto"/>
                <w:sz w:val="28"/>
                <w:szCs w:val="28"/>
                <w:highlight w:val="none"/>
                <w:lang w:val="en-US" w:eastAsia="zh-CN"/>
              </w:rPr>
              <w:t xml:space="preserve">  本工程无预付款。</w:t>
            </w:r>
            <w:r>
              <w:rPr>
                <w:rFonts w:hint="eastAsia" w:ascii="仿宋" w:hAnsi="仿宋" w:eastAsia="仿宋" w:cs="仿宋"/>
                <w:color w:val="auto"/>
                <w:sz w:val="28"/>
                <w:szCs w:val="28"/>
                <w:highlight w:val="none"/>
              </w:rPr>
              <w:t>工程竣工验收</w:t>
            </w:r>
            <w:r>
              <w:rPr>
                <w:rFonts w:hint="eastAsia" w:ascii="仿宋" w:hAnsi="仿宋" w:eastAsia="仿宋" w:cs="仿宋"/>
                <w:color w:val="auto"/>
                <w:sz w:val="28"/>
                <w:szCs w:val="28"/>
                <w:highlight w:val="none"/>
                <w:lang w:val="en-US" w:eastAsia="zh-CN"/>
              </w:rPr>
              <w:t>合格</w:t>
            </w:r>
            <w:r>
              <w:rPr>
                <w:rFonts w:hint="eastAsia" w:ascii="仿宋" w:hAnsi="仿宋" w:eastAsia="仿宋" w:cs="仿宋"/>
                <w:color w:val="auto"/>
                <w:sz w:val="28"/>
                <w:szCs w:val="28"/>
                <w:highlight w:val="none"/>
              </w:rPr>
              <w:t>后支付工程款的</w:t>
            </w:r>
            <w:r>
              <w:rPr>
                <w:rFonts w:hint="eastAsia" w:ascii="仿宋" w:hAnsi="仿宋" w:eastAsia="仿宋" w:cs="仿宋"/>
                <w:color w:val="auto"/>
                <w:sz w:val="28"/>
                <w:szCs w:val="28"/>
                <w:highlight w:val="none"/>
                <w:lang w:val="en-US" w:eastAsia="zh-CN"/>
              </w:rPr>
              <w:t>80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经结算</w:t>
            </w:r>
            <w:r>
              <w:rPr>
                <w:rFonts w:hint="eastAsia" w:ascii="仿宋" w:hAnsi="仿宋" w:eastAsia="仿宋" w:cs="仿宋"/>
                <w:color w:val="auto"/>
                <w:sz w:val="28"/>
                <w:szCs w:val="28"/>
                <w:highlight w:val="none"/>
              </w:rPr>
              <w:t>审核</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后支付至审定价的97%，剩余3%作为质保金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待两年缺陷责任期满后结清。</w:t>
            </w:r>
          </w:p>
        </w:tc>
      </w:tr>
      <w:tr w14:paraId="72708037">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1B6BB58C">
            <w:pPr>
              <w:spacing w:line="380" w:lineRule="exact"/>
              <w:jc w:val="center"/>
              <w:outlineLvl w:val="0"/>
              <w:rPr>
                <w:rFonts w:ascii="仿宋" w:hAnsi="仿宋" w:eastAsia="仿宋" w:cs="仿宋"/>
                <w:color w:val="auto"/>
                <w:kern w:val="0"/>
                <w:sz w:val="28"/>
                <w:szCs w:val="28"/>
                <w:highlight w:val="none"/>
              </w:rPr>
            </w:pPr>
            <w:bookmarkStart w:id="567" w:name="_Toc143449744"/>
            <w:bookmarkStart w:id="568" w:name="_Toc143449022"/>
            <w:bookmarkStart w:id="569" w:name="_Toc144969056"/>
            <w:r>
              <w:rPr>
                <w:rFonts w:hint="eastAsia" w:ascii="仿宋" w:hAnsi="仿宋" w:eastAsia="仿宋" w:cs="仿宋"/>
                <w:color w:val="auto"/>
                <w:kern w:val="0"/>
                <w:sz w:val="28"/>
                <w:szCs w:val="28"/>
                <w:highlight w:val="none"/>
              </w:rPr>
              <w:t>44</w:t>
            </w:r>
            <w:bookmarkEnd w:id="567"/>
            <w:bookmarkEnd w:id="568"/>
            <w:bookmarkEnd w:id="56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B695486">
            <w:pPr>
              <w:spacing w:line="36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信誉要求</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4A56DBC8">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信誉要求：供应商按照要求提供网站的信誉查询截图或提供承诺书。</w:t>
            </w:r>
          </w:p>
          <w:p w14:paraId="60B2B90A">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1.在投标截止时间前，未被最高人民法院在“中国执行信息公开网”网站（http://zxgk.court.gov.cn）列为失信被执行人（可提供“中国执行信息公开网”－“失信被执行人”查询截图，无失信被执行人惩戒信息）。</w:t>
            </w:r>
          </w:p>
          <w:p w14:paraId="3D1A420A">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在投标截止时间前，未被国家市场监督管理部门在国家企业信用信息公示系统（www.gsxt.gov.cn）中列入严重违法失信企业名单。（可提供供应商在国家企业信用信息公示系统网页查询截图，严重违法失信一栏中无不良记录）。</w:t>
            </w:r>
          </w:p>
          <w:p w14:paraId="51C8DEB0">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3.在投标截止时间前，未被全国建筑市场监管公共服务平台（jzsc.mohurd.gov.cn）列入“黑名单记录”（可提供全国建筑市场监管公共服务平台“黑名单记录”里的企业查询网页截图）。</w:t>
            </w:r>
          </w:p>
          <w:p w14:paraId="6488C412">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4.在投标截止时间前，未</w:t>
            </w:r>
            <w:r>
              <w:rPr>
                <w:rFonts w:hint="eastAsia" w:ascii="仿宋" w:hAnsi="仿宋" w:eastAsia="仿宋" w:cs="仿宋"/>
                <w:color w:val="auto"/>
                <w:sz w:val="28"/>
                <w:szCs w:val="28"/>
                <w:highlight w:val="none"/>
              </w:rPr>
              <w:t>被中国政府采购网（www.ccgp.gov.cn）列入“政府采购严重违法失信行为记录名单”（可提供中国政府采购网政府采购严重违法失信行为记录名单企业查询网页截图，或者“中国执行信息公开网（</w:t>
            </w:r>
            <w:r>
              <w:rPr>
                <w:color w:val="auto"/>
                <w:highlight w:val="none"/>
              </w:rPr>
              <w:fldChar w:fldCharType="begin"/>
            </w:r>
            <w:r>
              <w:rPr>
                <w:color w:val="auto"/>
                <w:highlight w:val="none"/>
              </w:rPr>
              <w:instrText xml:space="preserve"> HYPERLINK "http://zxgk.court.gov.cn/" </w:instrText>
            </w:r>
            <w:r>
              <w:rPr>
                <w:color w:val="auto"/>
                <w:highlight w:val="none"/>
              </w:rPr>
              <w:fldChar w:fldCharType="separate"/>
            </w:r>
            <w:r>
              <w:rPr>
                <w:rStyle w:val="38"/>
                <w:rFonts w:hint="eastAsia" w:ascii="仿宋" w:hAnsi="仿宋" w:eastAsia="仿宋" w:cs="仿宋"/>
                <w:color w:val="auto"/>
                <w:sz w:val="28"/>
                <w:szCs w:val="28"/>
                <w:highlight w:val="none"/>
              </w:rPr>
              <w:t>http://zxgk.court.gov.cn/</w:t>
            </w:r>
            <w:r>
              <w:rPr>
                <w:rStyle w:val="38"/>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）”－“信用中国”－“信用服务”－“政府采购严重违法失信行为记录名单”的网页查询截图）。</w:t>
            </w:r>
          </w:p>
        </w:tc>
      </w:tr>
      <w:tr w14:paraId="24E5B0E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3968DC2">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48</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AE41C81">
            <w:pPr>
              <w:spacing w:line="360" w:lineRule="exact"/>
              <w:jc w:val="center"/>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rPr>
              <w:t>其他要求</w:t>
            </w:r>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5BA5E573">
            <w:pPr>
              <w:spacing w:line="36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.磋商文件的解释权归采购人所有，由采购人负责解释。</w:t>
            </w:r>
          </w:p>
          <w:p w14:paraId="342DF314">
            <w:pPr>
              <w:spacing w:line="36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.如磋商文件中出现前后不一致的描述，解释优先顺序依次为供应商须知前附表＞评标办法＞磋商文件其他内容。</w:t>
            </w:r>
          </w:p>
          <w:p w14:paraId="7E56B0B8">
            <w:pPr>
              <w:spacing w:line="360" w:lineRule="exact"/>
              <w:rPr>
                <w:rStyle w:val="48"/>
                <w:rFonts w:hint="eastAsia" w:ascii="仿宋" w:hAnsi="仿宋" w:eastAsia="仿宋" w:cs="仿宋"/>
                <w:bCs/>
                <w:color w:val="auto"/>
                <w:kern w:val="44"/>
                <w:sz w:val="28"/>
                <w:szCs w:val="28"/>
                <w:highlight w:val="none"/>
              </w:rPr>
            </w:pPr>
            <w:r>
              <w:rPr>
                <w:rStyle w:val="48"/>
                <w:rFonts w:hint="eastAsia" w:ascii="仿宋" w:hAnsi="仿宋" w:eastAsia="仿宋" w:cs="仿宋"/>
                <w:bCs/>
                <w:color w:val="auto"/>
                <w:kern w:val="0"/>
                <w:sz w:val="28"/>
                <w:szCs w:val="28"/>
                <w:highlight w:val="none"/>
                <w:lang w:val="en-US"/>
              </w:rPr>
              <w:t>3</w:t>
            </w:r>
            <w:r>
              <w:rPr>
                <w:rStyle w:val="48"/>
                <w:rFonts w:hint="eastAsia" w:ascii="仿宋" w:hAnsi="仿宋" w:eastAsia="仿宋" w:cs="仿宋"/>
                <w:bCs/>
                <w:color w:val="auto"/>
                <w:kern w:val="0"/>
                <w:sz w:val="28"/>
                <w:szCs w:val="28"/>
                <w:highlight w:val="none"/>
              </w:rPr>
              <w:t>.</w:t>
            </w:r>
            <w:r>
              <w:rPr>
                <w:rStyle w:val="48"/>
                <w:rFonts w:hint="eastAsia" w:ascii="仿宋" w:hAnsi="仿宋" w:eastAsia="仿宋" w:cs="仿宋"/>
                <w:bCs/>
                <w:color w:val="auto"/>
                <w:kern w:val="44"/>
                <w:sz w:val="28"/>
                <w:szCs w:val="28"/>
                <w:highlight w:val="none"/>
              </w:rPr>
              <w:t>法定代表人（单位负责人）为同一个人的两个及两个以上法人（单位负责人）母公司、全资子公司及其控股公司，不得同时参与投标。</w:t>
            </w:r>
          </w:p>
          <w:p w14:paraId="16327FFE">
            <w:pPr>
              <w:spacing w:line="360" w:lineRule="exact"/>
              <w:rPr>
                <w:rStyle w:val="48"/>
                <w:rFonts w:hint="eastAsia" w:ascii="仿宋" w:hAnsi="仿宋" w:eastAsia="仿宋" w:cs="仿宋"/>
                <w:bCs/>
                <w:color w:val="auto"/>
                <w:kern w:val="44"/>
                <w:sz w:val="28"/>
                <w:szCs w:val="28"/>
                <w:highlight w:val="none"/>
              </w:rPr>
            </w:pPr>
            <w:r>
              <w:rPr>
                <w:rStyle w:val="48"/>
                <w:rFonts w:hint="eastAsia" w:ascii="仿宋" w:hAnsi="仿宋" w:eastAsia="仿宋" w:cs="仿宋"/>
                <w:b/>
                <w:bCs w:val="0"/>
                <w:color w:val="auto"/>
                <w:kern w:val="44"/>
                <w:sz w:val="28"/>
                <w:szCs w:val="28"/>
                <w:highlight w:val="none"/>
                <w:lang w:val="en-US"/>
              </w:rPr>
              <w:t>4.</w:t>
            </w:r>
            <w:r>
              <w:rPr>
                <w:rStyle w:val="48"/>
                <w:rFonts w:hint="eastAsia" w:ascii="仿宋" w:hAnsi="仿宋" w:eastAsia="仿宋" w:cs="仿宋"/>
                <w:b/>
                <w:bCs w:val="0"/>
                <w:color w:val="auto"/>
                <w:kern w:val="44"/>
                <w:sz w:val="28"/>
                <w:szCs w:val="28"/>
                <w:highlight w:val="none"/>
              </w:rPr>
              <w:t>供应商参加多个</w:t>
            </w:r>
            <w:r>
              <w:rPr>
                <w:rStyle w:val="48"/>
                <w:rFonts w:hint="eastAsia" w:ascii="仿宋" w:hAnsi="仿宋" w:eastAsia="仿宋" w:cs="仿宋"/>
                <w:b/>
                <w:bCs w:val="0"/>
                <w:color w:val="auto"/>
                <w:kern w:val="44"/>
                <w:sz w:val="28"/>
                <w:szCs w:val="28"/>
                <w:highlight w:val="none"/>
                <w:lang w:val="en-US"/>
              </w:rPr>
              <w:t>项目</w:t>
            </w:r>
            <w:r>
              <w:rPr>
                <w:rStyle w:val="48"/>
                <w:rFonts w:hint="eastAsia" w:ascii="仿宋" w:hAnsi="仿宋" w:eastAsia="仿宋" w:cs="仿宋"/>
                <w:b/>
                <w:bCs w:val="0"/>
                <w:color w:val="auto"/>
                <w:kern w:val="44"/>
                <w:sz w:val="28"/>
                <w:szCs w:val="28"/>
                <w:highlight w:val="none"/>
              </w:rPr>
              <w:t>磋商，成交</w:t>
            </w:r>
            <w:r>
              <w:rPr>
                <w:rStyle w:val="48"/>
                <w:rFonts w:hint="eastAsia" w:ascii="仿宋" w:hAnsi="仿宋" w:eastAsia="仿宋" w:cs="仿宋"/>
                <w:b/>
                <w:bCs w:val="0"/>
                <w:color w:val="auto"/>
                <w:kern w:val="44"/>
                <w:sz w:val="28"/>
                <w:szCs w:val="28"/>
                <w:highlight w:val="none"/>
                <w:lang w:val="en-US"/>
              </w:rPr>
              <w:t>项目数量的</w:t>
            </w:r>
            <w:r>
              <w:rPr>
                <w:rStyle w:val="48"/>
                <w:rFonts w:hint="eastAsia" w:ascii="仿宋" w:hAnsi="仿宋" w:eastAsia="仿宋" w:cs="仿宋"/>
                <w:b/>
                <w:bCs w:val="0"/>
                <w:color w:val="auto"/>
                <w:kern w:val="44"/>
                <w:sz w:val="28"/>
                <w:szCs w:val="28"/>
                <w:highlight w:val="none"/>
              </w:rPr>
              <w:t>规定：投标供应商可对</w:t>
            </w:r>
            <w:r>
              <w:rPr>
                <w:rStyle w:val="48"/>
                <w:rFonts w:hint="eastAsia" w:ascii="仿宋" w:hAnsi="仿宋" w:eastAsia="仿宋" w:cs="仿宋"/>
                <w:b/>
                <w:bCs w:val="0"/>
                <w:color w:val="auto"/>
                <w:kern w:val="44"/>
                <w:sz w:val="28"/>
                <w:szCs w:val="28"/>
                <w:highlight w:val="none"/>
                <w:lang w:val="en-US" w:eastAsia="zh-CN"/>
              </w:rPr>
              <w:t>采购人同一批（或同一时间段）挂网的</w:t>
            </w:r>
            <w:r>
              <w:rPr>
                <w:rStyle w:val="48"/>
                <w:rFonts w:hint="eastAsia" w:ascii="仿宋" w:hAnsi="仿宋" w:eastAsia="仿宋" w:cs="仿宋"/>
                <w:b/>
                <w:bCs w:val="0"/>
                <w:color w:val="auto"/>
                <w:kern w:val="44"/>
                <w:sz w:val="28"/>
                <w:szCs w:val="28"/>
                <w:highlight w:val="none"/>
              </w:rPr>
              <w:t>一个或多个</w:t>
            </w:r>
            <w:r>
              <w:rPr>
                <w:rStyle w:val="48"/>
                <w:rFonts w:hint="eastAsia" w:ascii="仿宋" w:hAnsi="仿宋" w:eastAsia="仿宋" w:cs="仿宋"/>
                <w:b/>
                <w:bCs w:val="0"/>
                <w:color w:val="auto"/>
                <w:kern w:val="44"/>
                <w:sz w:val="28"/>
                <w:szCs w:val="28"/>
                <w:highlight w:val="none"/>
                <w:lang w:val="en-US" w:eastAsia="zh-CN"/>
              </w:rPr>
              <w:t>项目</w:t>
            </w:r>
            <w:r>
              <w:rPr>
                <w:rStyle w:val="48"/>
                <w:rFonts w:hint="eastAsia" w:ascii="仿宋" w:hAnsi="仿宋" w:eastAsia="仿宋" w:cs="仿宋"/>
                <w:b/>
                <w:bCs w:val="0"/>
                <w:color w:val="auto"/>
                <w:kern w:val="44"/>
                <w:sz w:val="28"/>
                <w:szCs w:val="28"/>
                <w:highlight w:val="none"/>
              </w:rPr>
              <w:t>进行投标，</w:t>
            </w:r>
            <w:r>
              <w:rPr>
                <w:rStyle w:val="48"/>
                <w:rFonts w:hint="eastAsia" w:ascii="仿宋" w:hAnsi="仿宋" w:eastAsia="仿宋" w:cs="仿宋"/>
                <w:b/>
                <w:bCs w:val="0"/>
                <w:color w:val="auto"/>
                <w:kern w:val="44"/>
                <w:sz w:val="28"/>
                <w:szCs w:val="28"/>
                <w:highlight w:val="none"/>
                <w:lang w:val="en-US" w:eastAsia="zh-CN"/>
              </w:rPr>
              <w:t>但只能中1个项目。即：</w:t>
            </w:r>
            <w:r>
              <w:rPr>
                <w:rStyle w:val="48"/>
                <w:rFonts w:hint="eastAsia" w:ascii="仿宋" w:hAnsi="仿宋" w:eastAsia="仿宋" w:cs="仿宋"/>
                <w:b/>
                <w:bCs w:val="0"/>
                <w:color w:val="auto"/>
                <w:kern w:val="44"/>
                <w:sz w:val="28"/>
                <w:szCs w:val="28"/>
                <w:highlight w:val="none"/>
              </w:rPr>
              <w:t>第</w:t>
            </w:r>
            <w:r>
              <w:rPr>
                <w:rStyle w:val="48"/>
                <w:rFonts w:hint="eastAsia" w:ascii="仿宋" w:hAnsi="仿宋" w:eastAsia="仿宋" w:cs="仿宋"/>
                <w:b/>
                <w:bCs w:val="0"/>
                <w:color w:val="auto"/>
                <w:kern w:val="44"/>
                <w:sz w:val="28"/>
                <w:szCs w:val="28"/>
                <w:highlight w:val="none"/>
                <w:lang w:val="en-US" w:eastAsia="zh-CN"/>
              </w:rPr>
              <w:t>1个项目</w:t>
            </w:r>
            <w:r>
              <w:rPr>
                <w:rStyle w:val="48"/>
                <w:rFonts w:hint="eastAsia" w:ascii="仿宋" w:hAnsi="仿宋" w:eastAsia="仿宋" w:cs="仿宋"/>
                <w:b/>
                <w:bCs w:val="0"/>
                <w:color w:val="auto"/>
                <w:kern w:val="44"/>
                <w:sz w:val="28"/>
                <w:szCs w:val="28"/>
                <w:highlight w:val="none"/>
              </w:rPr>
              <w:t>的第一中标候选人不再</w:t>
            </w:r>
            <w:r>
              <w:rPr>
                <w:rStyle w:val="48"/>
                <w:rFonts w:hint="eastAsia" w:ascii="仿宋" w:hAnsi="仿宋" w:eastAsia="仿宋" w:cs="仿宋"/>
                <w:b/>
                <w:bCs w:val="0"/>
                <w:color w:val="auto"/>
                <w:kern w:val="44"/>
                <w:sz w:val="28"/>
                <w:szCs w:val="28"/>
                <w:highlight w:val="none"/>
                <w:lang w:val="en-US"/>
              </w:rPr>
              <w:t>被</w:t>
            </w:r>
            <w:r>
              <w:rPr>
                <w:rStyle w:val="48"/>
                <w:rFonts w:hint="eastAsia" w:ascii="仿宋" w:hAnsi="仿宋" w:eastAsia="仿宋" w:cs="仿宋"/>
                <w:b/>
                <w:bCs w:val="0"/>
                <w:color w:val="auto"/>
                <w:kern w:val="44"/>
                <w:sz w:val="28"/>
                <w:szCs w:val="28"/>
                <w:highlight w:val="none"/>
              </w:rPr>
              <w:t>推荐为第</w:t>
            </w:r>
            <w:r>
              <w:rPr>
                <w:rStyle w:val="48"/>
                <w:rFonts w:hint="eastAsia" w:ascii="仿宋" w:hAnsi="仿宋" w:eastAsia="仿宋" w:cs="仿宋"/>
                <w:b/>
                <w:bCs w:val="0"/>
                <w:color w:val="auto"/>
                <w:kern w:val="44"/>
                <w:sz w:val="28"/>
                <w:szCs w:val="28"/>
                <w:highlight w:val="none"/>
                <w:lang w:val="en-US" w:eastAsia="zh-CN"/>
              </w:rPr>
              <w:t>2个项目</w:t>
            </w:r>
            <w:r>
              <w:rPr>
                <w:rStyle w:val="48"/>
                <w:rFonts w:hint="eastAsia" w:ascii="仿宋" w:hAnsi="仿宋" w:eastAsia="仿宋" w:cs="仿宋"/>
                <w:b/>
                <w:bCs w:val="0"/>
                <w:color w:val="auto"/>
                <w:kern w:val="44"/>
                <w:sz w:val="28"/>
                <w:szCs w:val="28"/>
                <w:highlight w:val="none"/>
              </w:rPr>
              <w:t>的中标候选人，但</w:t>
            </w:r>
            <w:r>
              <w:rPr>
                <w:rStyle w:val="48"/>
                <w:rFonts w:hint="eastAsia" w:ascii="仿宋" w:hAnsi="仿宋" w:eastAsia="仿宋" w:cs="仿宋"/>
                <w:b/>
                <w:bCs w:val="0"/>
                <w:color w:val="auto"/>
                <w:kern w:val="44"/>
                <w:sz w:val="28"/>
                <w:szCs w:val="28"/>
                <w:highlight w:val="none"/>
                <w:lang w:val="en-US"/>
              </w:rPr>
              <w:t>可以</w:t>
            </w:r>
            <w:r>
              <w:rPr>
                <w:rStyle w:val="48"/>
                <w:rFonts w:hint="eastAsia" w:ascii="仿宋" w:hAnsi="仿宋" w:eastAsia="仿宋" w:cs="仿宋"/>
                <w:b/>
                <w:bCs w:val="0"/>
                <w:color w:val="auto"/>
                <w:kern w:val="44"/>
                <w:sz w:val="28"/>
                <w:szCs w:val="28"/>
                <w:highlight w:val="none"/>
              </w:rPr>
              <w:t>正常参与第2</w:t>
            </w:r>
            <w:r>
              <w:rPr>
                <w:rStyle w:val="48"/>
                <w:rFonts w:hint="eastAsia" w:ascii="仿宋" w:hAnsi="仿宋" w:eastAsia="仿宋" w:cs="仿宋"/>
                <w:b/>
                <w:bCs w:val="0"/>
                <w:color w:val="auto"/>
                <w:kern w:val="44"/>
                <w:sz w:val="28"/>
                <w:szCs w:val="28"/>
                <w:highlight w:val="none"/>
                <w:lang w:val="en-US" w:eastAsia="zh-CN"/>
              </w:rPr>
              <w:t>个项目</w:t>
            </w:r>
            <w:r>
              <w:rPr>
                <w:rStyle w:val="48"/>
                <w:rFonts w:hint="eastAsia" w:ascii="仿宋" w:hAnsi="仿宋" w:eastAsia="仿宋" w:cs="仿宋"/>
                <w:b/>
                <w:bCs w:val="0"/>
                <w:color w:val="auto"/>
                <w:kern w:val="44"/>
                <w:sz w:val="28"/>
                <w:szCs w:val="28"/>
                <w:highlight w:val="none"/>
              </w:rPr>
              <w:t>的计算和评审，以此类推</w:t>
            </w:r>
            <w:r>
              <w:rPr>
                <w:rStyle w:val="48"/>
                <w:rFonts w:hint="eastAsia" w:ascii="仿宋" w:hAnsi="仿宋" w:eastAsia="仿宋" w:cs="仿宋"/>
                <w:b/>
                <w:bCs w:val="0"/>
                <w:color w:val="auto"/>
                <w:kern w:val="44"/>
                <w:sz w:val="28"/>
                <w:szCs w:val="28"/>
                <w:highlight w:val="none"/>
                <w:lang w:eastAsia="zh-CN"/>
              </w:rPr>
              <w:t>。</w:t>
            </w:r>
          </w:p>
        </w:tc>
      </w:tr>
      <w:tr w14:paraId="6EA99A05">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7DB7A73">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49</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16D3E25">
            <w:pPr>
              <w:spacing w:line="36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所属行业分类</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74CC7348">
            <w:pPr>
              <w:spacing w:line="360" w:lineRule="exact"/>
              <w:rPr>
                <w:rStyle w:val="48"/>
                <w:rFonts w:hint="eastAsia" w:ascii="仿宋" w:hAnsi="仿宋" w:eastAsia="仿宋" w:cs="仿宋"/>
                <w:bCs/>
                <w:color w:val="auto"/>
                <w:kern w:val="0"/>
                <w:sz w:val="28"/>
                <w:szCs w:val="28"/>
                <w:highlight w:val="none"/>
                <w:lang w:eastAsia="zh-CN"/>
              </w:rPr>
            </w:pPr>
            <w:r>
              <w:rPr>
                <w:rFonts w:hint="eastAsia" w:ascii="仿宋" w:hAnsi="仿宋" w:eastAsia="仿宋" w:cs="仿宋"/>
                <w:color w:val="auto"/>
                <w:kern w:val="10"/>
                <w:sz w:val="28"/>
                <w:szCs w:val="28"/>
                <w:highlight w:val="none"/>
              </w:rPr>
              <w:t>本项目为</w:t>
            </w:r>
            <w:r>
              <w:rPr>
                <w:rFonts w:hint="eastAsia" w:ascii="仿宋" w:hAnsi="仿宋" w:eastAsia="仿宋" w:cs="仿宋"/>
                <w:color w:val="auto"/>
                <w:kern w:val="10"/>
                <w:sz w:val="28"/>
                <w:szCs w:val="28"/>
                <w:highlight w:val="none"/>
                <w:u w:val="single"/>
              </w:rPr>
              <w:t xml:space="preserve"> </w:t>
            </w:r>
            <w:r>
              <w:rPr>
                <w:rFonts w:hint="eastAsia" w:ascii="仿宋" w:hAnsi="仿宋" w:eastAsia="仿宋" w:cs="仿宋"/>
                <w:b/>
                <w:bCs/>
                <w:color w:val="auto"/>
                <w:kern w:val="10"/>
                <w:sz w:val="28"/>
                <w:szCs w:val="28"/>
                <w:highlight w:val="none"/>
                <w:u w:val="single"/>
              </w:rPr>
              <w:t xml:space="preserve">工程 </w:t>
            </w:r>
            <w:r>
              <w:rPr>
                <w:rFonts w:hint="eastAsia" w:ascii="仿宋" w:hAnsi="仿宋" w:eastAsia="仿宋" w:cs="仿宋"/>
                <w:color w:val="auto"/>
                <w:kern w:val="10"/>
                <w:sz w:val="28"/>
                <w:szCs w:val="28"/>
                <w:highlight w:val="none"/>
              </w:rPr>
              <w:t>类，</w:t>
            </w:r>
            <w:r>
              <w:rPr>
                <w:rFonts w:hint="eastAsia" w:ascii="仿宋" w:hAnsi="仿宋" w:eastAsia="仿宋" w:cs="仿宋"/>
                <w:bCs/>
                <w:color w:val="auto"/>
                <w:kern w:val="10"/>
                <w:sz w:val="28"/>
                <w:szCs w:val="28"/>
                <w:highlight w:val="none"/>
              </w:rPr>
              <w:t>根据《工业和信息化部、国家统计局、国家发展和改革委员会、财政部关于印发中小企业划型标准规定的通知》（工信部联企业〔2011〕300 号）规定的划分标准，本项目属于</w:t>
            </w:r>
            <w:r>
              <w:rPr>
                <w:rFonts w:hint="eastAsia" w:ascii="仿宋" w:hAnsi="仿宋" w:eastAsia="仿宋" w:cs="仿宋"/>
                <w:bCs/>
                <w:color w:val="auto"/>
                <w:kern w:val="10"/>
                <w:sz w:val="28"/>
                <w:szCs w:val="28"/>
                <w:highlight w:val="none"/>
                <w:u w:val="single"/>
              </w:rPr>
              <w:t>建筑业</w:t>
            </w:r>
            <w:r>
              <w:rPr>
                <w:rFonts w:hint="eastAsia" w:ascii="仿宋" w:hAnsi="仿宋" w:eastAsia="仿宋" w:cs="仿宋"/>
                <w:bCs/>
                <w:color w:val="auto"/>
                <w:kern w:val="10"/>
                <w:sz w:val="28"/>
                <w:szCs w:val="28"/>
                <w:highlight w:val="none"/>
                <w:u w:val="single"/>
                <w:lang w:eastAsia="zh-CN"/>
              </w:rPr>
              <w:t>。</w:t>
            </w:r>
          </w:p>
        </w:tc>
      </w:tr>
    </w:tbl>
    <w:p w14:paraId="23A4CE41">
      <w:pPr>
        <w:pStyle w:val="2"/>
        <w:spacing w:line="380" w:lineRule="exact"/>
        <w:rPr>
          <w:rFonts w:hint="eastAsia" w:ascii="宋体" w:hAnsi="宋体" w:eastAsia="宋体" w:cs="宋体"/>
          <w:color w:val="auto"/>
          <w:sz w:val="28"/>
          <w:szCs w:val="28"/>
          <w:highlight w:val="none"/>
        </w:rPr>
      </w:pPr>
      <w:bookmarkStart w:id="570" w:name="_Toc2958"/>
      <w:bookmarkEnd w:id="570"/>
      <w:bookmarkStart w:id="571" w:name="_Toc8278"/>
      <w:bookmarkEnd w:id="571"/>
      <w:bookmarkStart w:id="572" w:name="_Toc9482"/>
      <w:bookmarkEnd w:id="572"/>
      <w:bookmarkStart w:id="573" w:name="_Toc6139"/>
      <w:bookmarkEnd w:id="573"/>
      <w:bookmarkStart w:id="574" w:name="_Toc5570"/>
      <w:bookmarkStart w:id="575" w:name="_Toc143449025"/>
      <w:bookmarkStart w:id="576" w:name="_Toc32576"/>
      <w:bookmarkStart w:id="577" w:name="_Toc143449747"/>
      <w:bookmarkStart w:id="578" w:name="_Toc144969059"/>
      <w:r>
        <w:rPr>
          <w:rFonts w:hint="eastAsia" w:ascii="宋体" w:hAnsi="宋体" w:eastAsia="宋体" w:cs="宋体"/>
          <w:bCs/>
          <w:color w:val="auto"/>
          <w:sz w:val="24"/>
          <w:szCs w:val="24"/>
          <w:highlight w:val="none"/>
        </w:rPr>
        <w:t>注：</w:t>
      </w:r>
      <w:bookmarkEnd w:id="574"/>
      <w:bookmarkEnd w:id="575"/>
      <w:bookmarkEnd w:id="576"/>
      <w:bookmarkEnd w:id="577"/>
      <w:bookmarkEnd w:id="578"/>
      <w:r>
        <w:rPr>
          <w:rFonts w:hint="eastAsia" w:ascii="宋体" w:hAnsi="宋体" w:eastAsia="宋体" w:cs="宋体"/>
          <w:bCs/>
          <w:color w:val="auto"/>
          <w:sz w:val="24"/>
          <w:szCs w:val="24"/>
          <w:highlight w:val="none"/>
        </w:rPr>
        <w:t>磋商文件中如有与供应商须知前附表不一致之处，以供应商须知前附表为准。</w:t>
      </w:r>
      <w:bookmarkStart w:id="579" w:name="_Toc31973"/>
      <w:bookmarkEnd w:id="579"/>
      <w:bookmarkStart w:id="580" w:name="_bookmark2"/>
      <w:bookmarkEnd w:id="580"/>
    </w:p>
    <w:p w14:paraId="1FC58A7A">
      <w:pPr>
        <w:pStyle w:val="44"/>
        <w:jc w:val="both"/>
        <w:rPr>
          <w:color w:val="auto"/>
          <w:highlight w:val="none"/>
        </w:rPr>
      </w:pPr>
    </w:p>
    <w:p w14:paraId="347CAE7B">
      <w:pPr>
        <w:rPr>
          <w:color w:val="auto"/>
          <w:highlight w:val="none"/>
        </w:rPr>
      </w:pPr>
    </w:p>
    <w:p w14:paraId="16568DA9">
      <w:pPr>
        <w:rPr>
          <w:color w:val="auto"/>
          <w:highlight w:val="none"/>
        </w:rPr>
      </w:pPr>
    </w:p>
    <w:p w14:paraId="635FCCD7">
      <w:pPr>
        <w:rPr>
          <w:color w:val="auto"/>
          <w:highlight w:val="none"/>
        </w:rPr>
      </w:pPr>
    </w:p>
    <w:p w14:paraId="5F6BA724">
      <w:pPr>
        <w:rPr>
          <w:color w:val="auto"/>
          <w:highlight w:val="none"/>
        </w:rPr>
      </w:pPr>
    </w:p>
    <w:p w14:paraId="35ABCA62">
      <w:pPr>
        <w:rPr>
          <w:color w:val="auto"/>
          <w:highlight w:val="none"/>
        </w:rPr>
      </w:pPr>
    </w:p>
    <w:p w14:paraId="4C13AA43">
      <w:pPr>
        <w:rPr>
          <w:color w:val="auto"/>
          <w:highlight w:val="none"/>
        </w:rPr>
      </w:pPr>
    </w:p>
    <w:p w14:paraId="356CD99F">
      <w:pPr>
        <w:rPr>
          <w:color w:val="auto"/>
          <w:highlight w:val="none"/>
        </w:rPr>
      </w:pPr>
    </w:p>
    <w:p w14:paraId="12E63A65">
      <w:pPr>
        <w:rPr>
          <w:color w:val="auto"/>
          <w:highlight w:val="none"/>
        </w:rPr>
      </w:pPr>
    </w:p>
    <w:p w14:paraId="68F301D8">
      <w:pPr>
        <w:rPr>
          <w:color w:val="auto"/>
          <w:highlight w:val="none"/>
        </w:rPr>
      </w:pPr>
    </w:p>
    <w:p w14:paraId="0C691284">
      <w:pPr>
        <w:rPr>
          <w:color w:val="auto"/>
          <w:highlight w:val="none"/>
        </w:rPr>
      </w:pPr>
    </w:p>
    <w:p w14:paraId="20C10422">
      <w:pPr>
        <w:rPr>
          <w:color w:val="auto"/>
          <w:highlight w:val="none"/>
        </w:rPr>
      </w:pPr>
    </w:p>
    <w:p w14:paraId="4C2505C7">
      <w:pPr>
        <w:rPr>
          <w:color w:val="auto"/>
          <w:highlight w:val="none"/>
        </w:rPr>
      </w:pPr>
    </w:p>
    <w:p w14:paraId="7AB62C8F">
      <w:pPr>
        <w:rPr>
          <w:color w:val="auto"/>
          <w:highlight w:val="none"/>
        </w:rPr>
      </w:pPr>
    </w:p>
    <w:p w14:paraId="2451A4CE">
      <w:pPr>
        <w:rPr>
          <w:color w:val="auto"/>
          <w:highlight w:val="none"/>
        </w:rPr>
      </w:pPr>
    </w:p>
    <w:p w14:paraId="0E840C9B">
      <w:pPr>
        <w:rPr>
          <w:color w:val="auto"/>
          <w:highlight w:val="none"/>
        </w:rPr>
      </w:pPr>
    </w:p>
    <w:p w14:paraId="450B993B">
      <w:pPr>
        <w:rPr>
          <w:color w:val="auto"/>
          <w:highlight w:val="none"/>
        </w:rPr>
      </w:pPr>
    </w:p>
    <w:p w14:paraId="53877E08">
      <w:pPr>
        <w:rPr>
          <w:color w:val="auto"/>
          <w:highlight w:val="none"/>
        </w:rPr>
      </w:pPr>
    </w:p>
    <w:p w14:paraId="5D189AC6">
      <w:pPr>
        <w:rPr>
          <w:color w:val="auto"/>
          <w:highlight w:val="none"/>
        </w:rPr>
      </w:pPr>
    </w:p>
    <w:p w14:paraId="097B5BA5">
      <w:pPr>
        <w:rPr>
          <w:color w:val="auto"/>
          <w:highlight w:val="none"/>
        </w:rPr>
      </w:pPr>
    </w:p>
    <w:p w14:paraId="7E37AD70">
      <w:pPr>
        <w:rPr>
          <w:color w:val="auto"/>
          <w:highlight w:val="none"/>
        </w:rPr>
      </w:pPr>
    </w:p>
    <w:p w14:paraId="2E2EE592">
      <w:pPr>
        <w:rPr>
          <w:color w:val="auto"/>
          <w:highlight w:val="none"/>
        </w:rPr>
      </w:pPr>
    </w:p>
    <w:p w14:paraId="583C9D56">
      <w:pPr>
        <w:rPr>
          <w:color w:val="auto"/>
          <w:highlight w:val="none"/>
        </w:rPr>
      </w:pPr>
    </w:p>
    <w:p w14:paraId="40D481CC">
      <w:pPr>
        <w:jc w:val="center"/>
        <w:rPr>
          <w:rStyle w:val="43"/>
          <w:rFonts w:hint="default" w:hAnsi="黑体" w:cs="仿宋" w:asciiTheme="minorHAnsi" w:eastAsiaTheme="minorEastAsia"/>
          <w:b w:val="0"/>
          <w:color w:val="auto"/>
          <w:kern w:val="2"/>
          <w:sz w:val="21"/>
          <w:szCs w:val="24"/>
          <w:highlight w:val="none"/>
        </w:rPr>
      </w:pPr>
      <w:bookmarkStart w:id="581" w:name="_Toc144969060"/>
      <w:r>
        <w:rPr>
          <w:rStyle w:val="43"/>
          <w:rFonts w:hint="default" w:ascii="Arial Unicode MS" w:hAnsi="仿宋" w:eastAsia="Arial Unicode MS" w:cs="仿宋"/>
          <w:b w:val="0"/>
          <w:color w:val="auto"/>
          <w:sz w:val="44"/>
          <w:szCs w:val="44"/>
          <w:highlight w:val="none"/>
        </w:rPr>
        <w:t>第三章 供应商须知</w:t>
      </w:r>
      <w:bookmarkEnd w:id="581"/>
    </w:p>
    <w:p w14:paraId="54BCD550">
      <w:pPr>
        <w:pStyle w:val="2"/>
        <w:spacing w:line="360" w:lineRule="exact"/>
        <w:jc w:val="center"/>
        <w:rPr>
          <w:rFonts w:hint="default" w:ascii="仿宋" w:hAnsi="仿宋" w:eastAsia="仿宋" w:cs="仿宋"/>
          <w:color w:val="auto"/>
          <w:sz w:val="28"/>
          <w:szCs w:val="28"/>
          <w:highlight w:val="none"/>
        </w:rPr>
      </w:pPr>
      <w:bookmarkStart w:id="582" w:name="_Toc23293"/>
      <w:bookmarkEnd w:id="582"/>
      <w:bookmarkStart w:id="583" w:name="_Toc6885"/>
      <w:bookmarkEnd w:id="583"/>
      <w:bookmarkStart w:id="584" w:name="_Toc10248"/>
      <w:bookmarkEnd w:id="584"/>
      <w:bookmarkStart w:id="585" w:name="_Toc32310"/>
      <w:bookmarkEnd w:id="585"/>
      <w:bookmarkStart w:id="586" w:name="_Toc21355"/>
      <w:bookmarkEnd w:id="586"/>
      <w:bookmarkStart w:id="587" w:name="一．总____则"/>
      <w:bookmarkEnd w:id="587"/>
      <w:bookmarkStart w:id="588" w:name="_Toc30793"/>
      <w:bookmarkEnd w:id="588"/>
      <w:bookmarkStart w:id="589" w:name="_Toc12585"/>
      <w:bookmarkStart w:id="590" w:name="_Toc2999"/>
      <w:bookmarkStart w:id="591" w:name="_Toc25000"/>
    </w:p>
    <w:p w14:paraId="147AB589">
      <w:pPr>
        <w:snapToGrid w:val="0"/>
        <w:spacing w:line="440" w:lineRule="exact"/>
        <w:ind w:firstLine="560" w:firstLineChars="200"/>
        <w:contextualSpacing/>
        <w:rPr>
          <w:rFonts w:ascii="黑体" w:hAnsi="黑体" w:eastAsia="黑体" w:cs="仿宋"/>
          <w:color w:val="auto"/>
          <w:sz w:val="28"/>
          <w:szCs w:val="28"/>
          <w:highlight w:val="none"/>
          <w:lang w:bidi="ar"/>
        </w:rPr>
      </w:pPr>
      <w:bookmarkStart w:id="592" w:name="_Toc13052"/>
      <w:bookmarkEnd w:id="592"/>
      <w:bookmarkStart w:id="593" w:name="_Toc2653"/>
      <w:bookmarkEnd w:id="593"/>
      <w:bookmarkStart w:id="594" w:name="_Toc31395"/>
      <w:bookmarkEnd w:id="594"/>
      <w:bookmarkStart w:id="595" w:name="_Toc7124"/>
      <w:bookmarkEnd w:id="595"/>
      <w:bookmarkStart w:id="596" w:name="_Toc11310"/>
      <w:bookmarkEnd w:id="596"/>
      <w:bookmarkStart w:id="597" w:name="_Toc21466"/>
      <w:bookmarkEnd w:id="597"/>
      <w:bookmarkStart w:id="598" w:name="_Toc143449030"/>
      <w:bookmarkStart w:id="599" w:name="_Toc143449752"/>
      <w:bookmarkStart w:id="600" w:name="_Toc13449"/>
      <w:bookmarkStart w:id="601" w:name="_Toc16138"/>
      <w:r>
        <w:rPr>
          <w:rFonts w:hint="eastAsia" w:ascii="黑体" w:hAnsi="黑体" w:eastAsia="黑体" w:cs="仿宋"/>
          <w:color w:val="auto"/>
          <w:sz w:val="28"/>
          <w:szCs w:val="28"/>
          <w:highlight w:val="none"/>
          <w:lang w:bidi="ar"/>
        </w:rPr>
        <w:t>1.适用范围</w:t>
      </w:r>
    </w:p>
    <w:p w14:paraId="7334C6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 本磋商文件仅适用于本次磋商所述的工程项目采购。</w:t>
      </w:r>
    </w:p>
    <w:p w14:paraId="1778C1A7">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 2.定义</w:t>
      </w:r>
    </w:p>
    <w:p w14:paraId="48FE6C6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 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1E0E191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 时限（年份、月份等）计算：系指从响应文件提交截止之日向前追溯 X年/月（“X”为“一”及以后整数）起算。</w:t>
      </w:r>
    </w:p>
    <w:p w14:paraId="577280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2.3 业绩：除非本磋商文件中另有规定，业绩系指符合本磋商文件规定且已交/竣工验收合格的业绩。供应商与其关联公司（如母公司、控股公司、分公司、子公司、同一法定代表人的公司等）之间签订的合同，均不予认可。</w:t>
      </w:r>
    </w:p>
    <w:p w14:paraId="74AB8907">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 3.采购人、采购代理机构及供应商</w:t>
      </w:r>
    </w:p>
    <w:p w14:paraId="12A6C2D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3.1 采购人：本项目的采购人见供应商须知前附表。</w:t>
      </w:r>
    </w:p>
    <w:p w14:paraId="6BA0E0C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 采购代理机构：本项目的采购代理机构见供应商须知前附表。</w:t>
      </w:r>
    </w:p>
    <w:p w14:paraId="64A22592">
      <w:pPr>
        <w:snapToGrid w:val="0"/>
        <w:spacing w:line="440" w:lineRule="exact"/>
        <w:ind w:firstLine="560" w:firstLineChars="200"/>
        <w:contextualSpacing/>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3.3 采购监督管理部门：</w:t>
      </w:r>
      <w:r>
        <w:rPr>
          <w:rFonts w:hint="eastAsia" w:ascii="仿宋" w:hAnsi="仿宋" w:eastAsia="仿宋" w:cs="仿宋"/>
          <w:color w:val="auto"/>
          <w:sz w:val="28"/>
          <w:szCs w:val="28"/>
          <w:highlight w:val="none"/>
          <w:lang w:val="en-US" w:eastAsia="zh-CN" w:bidi="ar"/>
        </w:rPr>
        <w:t>/</w:t>
      </w:r>
    </w:p>
    <w:p w14:paraId="709E84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 供应商：是指向采购人提供工程、货物或者服务的法人、非法人组织或者自然人。分支机构不得参加采购活动，但银行、保险、石油石化、电力、电信等特殊行业除外。本项目的供应商须满足以下条件：</w:t>
      </w:r>
    </w:p>
    <w:p w14:paraId="0D8FEBF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3.4.1 在中华人民共和国境内注册，能够独立承担民事责任，有生产或供应能力的本国供应商。</w:t>
      </w:r>
    </w:p>
    <w:p w14:paraId="268FE10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3.4.2 具备《中华人民共和国政府采购法》第二十二条关于供应商条件的规定，遵守本项目采购人本级和上级财政部门的有关规定。</w:t>
      </w:r>
    </w:p>
    <w:p w14:paraId="44373E5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3.4.3 以采购代理机构认可的方式获得了本项目的磋商文件。</w:t>
      </w:r>
    </w:p>
    <w:p w14:paraId="5E34F7A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3.4.4 若供应商须知前附表中写明专门面向中小企业采购的，如供应商为非中小企业，其响应文件将被认定为响应无效。</w:t>
      </w:r>
    </w:p>
    <w:p w14:paraId="527AE42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 若供应商须知前附表中允许联合体参加磋商，对联合体规定如下：</w:t>
      </w:r>
    </w:p>
    <w:p w14:paraId="5887C4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3.5.1 两个以上供应商可以组成一个磋商联合体，以一个供应商的身份磋商。</w:t>
      </w:r>
    </w:p>
    <w:p w14:paraId="2ACDB7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3.5.2 联合体各方均应符合《中华人民共和国政府采购法》第二十二条规定的条件。</w:t>
      </w:r>
    </w:p>
    <w:p w14:paraId="16FB418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3.5.3 采购人根据采购项目对供应商的特殊要求，联合体中至少应当有一方符合相关规定。</w:t>
      </w:r>
    </w:p>
    <w:p w14:paraId="5838582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3.5.4 联合体各方应签订联合体协议，明确约定联合体各方承担的工作和相应的责任，并将联合体协议作为响应文件的一部分提交。</w:t>
      </w:r>
    </w:p>
    <w:p w14:paraId="157EE37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3.5.5 大中型企业、其他自然人、法人或者非法人组织与小型、微型企业组成联合体共同参加磋商，联合体协议中应写明小型、微型企业的协议合同金额占到联合体协议合同总金额的比例。</w:t>
      </w:r>
    </w:p>
    <w:p w14:paraId="449855D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3.5.6 联合体中有同类资质的供应商按照联合体分工承担相同工作的，应当按照资质等级较低的供应商确定资质等级。</w:t>
      </w:r>
    </w:p>
    <w:p w14:paraId="4F1C359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3.5.7 以联合体形式参加采购活动的，联合体各方不得再单独参加或者与其他供应商另外组成联合体参加本项目磋商，否则其响应文件将被认定为 响应无效。</w:t>
      </w:r>
    </w:p>
    <w:p w14:paraId="330AA52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3.5.8 对联合体参加磋商的其他资格要求见供应商资格。</w:t>
      </w:r>
    </w:p>
    <w:p w14:paraId="10A58D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3.6 单位负责人为同一人或者存在直接控股、管理关系的不同供应商，不得参加同一合同项下的采购活动。否则其响应文件将被认定为 响应无效。</w:t>
      </w:r>
    </w:p>
    <w:p w14:paraId="79173C8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3.7 为本项目提供过整体设计、规范编制或者项目管理、监理、检测等服务的供应商，不得再参加本项目上述服务以外的其他采购活动。否则其响应文件将被认定为响应无效。</w:t>
      </w:r>
    </w:p>
    <w:p w14:paraId="2A20BB0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4 资金来源</w:t>
      </w:r>
    </w:p>
    <w:p w14:paraId="16B05AE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4.1 本项目的采购人已获得足以支付本次磋商后所签订的合同项下的资金。</w:t>
      </w:r>
    </w:p>
    <w:p w14:paraId="6C30B9B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4.2 项目预算金额或分项（或分包）预算金额见磋商公告（磋商邀请）。</w:t>
      </w:r>
    </w:p>
    <w:p w14:paraId="3A2DE80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5 磋商费用</w:t>
      </w:r>
    </w:p>
    <w:p w14:paraId="78446F5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不论磋商的结果如何，供应商应承担其所有与准备和参加磋商有关的费用。</w:t>
      </w:r>
    </w:p>
    <w:p w14:paraId="6B7BA39C">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6 适用法律</w:t>
      </w:r>
    </w:p>
    <w:p w14:paraId="587BC80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本项目采购人、采购代理机构、供应商、磋商小组的相关行为均受《中华人民共和国政府采购法》、《中华人民共和国政府采购法实施条例》及本项目本级和上级财政部门、采购监督管理部门有关规定的约束，其权利受到上述法律法规的保护。</w:t>
      </w:r>
    </w:p>
    <w:p w14:paraId="42C0D20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7 磋商文件 构成</w:t>
      </w:r>
    </w:p>
    <w:p w14:paraId="47D7999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7.1 磋商文件包括下列内容：</w:t>
      </w:r>
    </w:p>
    <w:p w14:paraId="3DFFC1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第一章 竞争性磋商公告</w:t>
      </w:r>
    </w:p>
    <w:p w14:paraId="5E4C15F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第二章 供应商须知前附表</w:t>
      </w:r>
    </w:p>
    <w:p w14:paraId="78689B8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第三章 供应商须知</w:t>
      </w:r>
    </w:p>
    <w:p w14:paraId="28198B1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第四章 采购需求</w:t>
      </w:r>
    </w:p>
    <w:p w14:paraId="01779E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第五章 评审方法和标准</w:t>
      </w:r>
    </w:p>
    <w:p w14:paraId="57C14CC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第六章 采购合同</w:t>
      </w:r>
    </w:p>
    <w:p w14:paraId="6A7AF90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第七章 磋商响应文件格式</w:t>
      </w:r>
    </w:p>
    <w:p w14:paraId="20EEB6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第八章 最终报价或第   次报价表</w:t>
      </w:r>
    </w:p>
    <w:p w14:paraId="6AF3906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7.2 磋商文件中有不一致的，有澄清的部分以最终的澄清更正内容为准。</w:t>
      </w:r>
    </w:p>
    <w:p w14:paraId="3BE1241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7.3 现场踏勘及相关事项见供应商须知前附表。</w:t>
      </w:r>
    </w:p>
    <w:p w14:paraId="40CE487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7.4 供应商应认真阅读磋商文件所有的事项、格式、条款和技术规范等。</w:t>
      </w:r>
    </w:p>
    <w:p w14:paraId="6AD503E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8.磋商文件的澄清与修改</w:t>
      </w:r>
    </w:p>
    <w:p w14:paraId="7612353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8.1 供应商如对磋商文件内容有疑问，必须在供应商须知前附表规定的询问截止时间前提交给采购代理机构。</w:t>
      </w:r>
    </w:p>
    <w:p w14:paraId="2D9EDB52">
      <w:pPr>
        <w:keepNext w:val="0"/>
        <w:keepLines w:val="0"/>
        <w:pageBreakBefore w:val="0"/>
        <w:widowControl w:val="0"/>
        <w:kinsoku/>
        <w:wordWrap w:val="0"/>
        <w:overflowPunct/>
        <w:topLinePunct w:val="0"/>
        <w:autoSpaceDE/>
        <w:autoSpaceDN/>
        <w:bidi w:val="0"/>
        <w:adjustRightInd/>
        <w:snapToGrid w:val="0"/>
        <w:spacing w:line="440" w:lineRule="exact"/>
        <w:ind w:firstLine="560" w:firstLineChars="200"/>
        <w:contextualSpacing/>
        <w:textAlignment w:val="auto"/>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8.2 采购人可主动地或在解答供应商提出的问题时对磋商文件进行澄清或者修改。采购代理机构将在</w:t>
      </w:r>
      <w:r>
        <w:rPr>
          <w:rFonts w:hint="eastAsia" w:ascii="仿宋" w:hAnsi="仿宋" w:eastAsia="仿宋" w:cs="仿宋"/>
          <w:color w:val="auto"/>
          <w:sz w:val="28"/>
          <w:szCs w:val="28"/>
          <w:highlight w:val="none"/>
          <w:lang w:val="en-US" w:eastAsia="zh-CN" w:bidi="ar"/>
        </w:rPr>
        <w:t>磋商公告发布媒介上</w:t>
      </w:r>
      <w:r>
        <w:rPr>
          <w:rFonts w:hint="eastAsia" w:ascii="仿宋" w:hAnsi="仿宋" w:eastAsia="仿宋" w:cs="仿宋"/>
          <w:color w:val="auto"/>
          <w:sz w:val="28"/>
          <w:szCs w:val="28"/>
          <w:highlight w:val="none"/>
          <w:lang w:bidi="ar"/>
        </w:rPr>
        <w:t>以发布澄清或者修改公告的方式，澄清或修改磋商文件，澄清或修改的内容作为磋商文件的组成部分，对供应商起约束作用。供应商应主动上网查询。采购代理机构不承担供应商未及时关注相关信息引发的相关责任。</w:t>
      </w:r>
    </w:p>
    <w:p w14:paraId="198685E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8.3 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69177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8.4 对于没有提出询问又参与了本项目磋商的供应商将被视为完全认同本磋商文件（含澄清或修改的内容）。</w:t>
      </w:r>
    </w:p>
    <w:p w14:paraId="57F1A9C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9.磋商范围及响应文件中标准和计量单位的使用</w:t>
      </w:r>
    </w:p>
    <w:p w14:paraId="39C4F93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9.1 项目有分包的，供应商可参与磋商文件其中某一个或多个分包的磋商，成交包数详见供应商须知前附表中规定。</w:t>
      </w:r>
    </w:p>
    <w:p w14:paraId="70E356D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9.2 无论磋商文件中是否要求，供应商所承担工程及伴随的货物和服务均应符合国家强制性标准。</w:t>
      </w:r>
    </w:p>
    <w:p w14:paraId="5835F57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9.3 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54EADC0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9.4 除磋商文件中有特殊要求外，响应文件中所使用的计量单位，应采用中华人民共和国法定计量单位。</w:t>
      </w:r>
    </w:p>
    <w:p w14:paraId="4A2A4B1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10 响应文件构成</w:t>
      </w:r>
    </w:p>
    <w:p w14:paraId="0C8A7F6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10.1 供应商应完整地按磋商文件提供的响应文件格式及要求编写响应文件，具体内容详见本项目第七章响应文件格式的相关内容。</w:t>
      </w:r>
    </w:p>
    <w:p w14:paraId="3371399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10.2 上述文件应按照磋商文件规定的格式填写、签署和盖章。</w:t>
      </w:r>
    </w:p>
    <w:p w14:paraId="3F4E3D7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11 证明标的的合格性和符合磋商文件规定的技术文件</w:t>
      </w:r>
    </w:p>
    <w:p w14:paraId="705F5EA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11.1 供应商应提交磋商文件要求的证明文件，证明其响应内容符合磋商文件规定。该证明文件是响应文件的一部分。</w:t>
      </w:r>
    </w:p>
    <w:p w14:paraId="13C4D2E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11.2 上款所述的证明文件，可以是文字资料、图纸和数据。</w:t>
      </w:r>
    </w:p>
    <w:p w14:paraId="42D7A16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11.3 本条所指证明文件不包括对磋商文件相关部分的文字、图标的复制。</w:t>
      </w:r>
    </w:p>
    <w:p w14:paraId="0C8A0EB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11.4 为保证公平公正，除非磋商文件另有规定或说明，供应商对同一项目磋商时，不得同时提供备选磋商方案。</w:t>
      </w:r>
    </w:p>
    <w:p w14:paraId="1CC9877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12 报价</w:t>
      </w:r>
    </w:p>
    <w:p w14:paraId="0C76A21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12.1 供应商的报价应当包括满足本次磋商的全部内容。所有报价均应以人民币报价。供应商的磋商报价应遵守《中华人民共和国价格法》。</w:t>
      </w:r>
    </w:p>
    <w:p w14:paraId="5E3EBAB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12.2 供应商应在分项报价表上标明磋商工程的单价（如适用）和总价。未标明的视同包含在磋商报价中。</w:t>
      </w:r>
    </w:p>
    <w:p w14:paraId="374A155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12.3 供应商最后报价均不得高于磋商文件（公告）列明的项目预算、最高投标限价（控制价），否则其响应文件将被认定为响应无效。</w:t>
      </w:r>
    </w:p>
    <w:p w14:paraId="24B97C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12.4 报价在合同履行过程中是固定不变的，不得以任何理由予以变更。任何包含价格调整要求的磋商，其响应文件将被认定为响应无效。</w:t>
      </w:r>
    </w:p>
    <w:p w14:paraId="36D39A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12.5 采购人不接受具有附加条件的报价。</w:t>
      </w:r>
    </w:p>
    <w:p w14:paraId="2542829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13 磋商保证金（如有）</w:t>
      </w:r>
    </w:p>
    <w:p w14:paraId="1750201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13.1 供应商应提交供应商须知前附表中规定的磋商保证金，并作为其响应文件的一部分。供应商未按规定提交磋商保证金的，其响应文件将被认定为响应无效。</w:t>
      </w:r>
    </w:p>
    <w:p w14:paraId="68D105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磋商保证金缴纳人名称与供应商名称应当一致。除非磋商文件另有规定，分公司或子公司代缴磋商保证金，视同名称不一致。磋商保证金缴纳人名称与供应商名称不一致的，其响应文件将被认定为响应无效。</w:t>
      </w:r>
    </w:p>
    <w:p w14:paraId="1916579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13.4 联合体参加磋商的，可以由联合体中的一方或者共同提交磋商保证金。以一方名义提交磋商保证金的，对联合体各方均具有约束力。</w:t>
      </w:r>
    </w:p>
    <w:p w14:paraId="3720D70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13.5 采购代理机构将在成交通知书发出后五个工作日内退还未成交供应商的磋商保证金，在采购合同签订后五个工作日内退还成交供应商的磋商保证金；</w:t>
      </w:r>
    </w:p>
    <w:p w14:paraId="784DBB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13.6 因供应商自身原因导致无法及时退还的，采购人或采购代理机构将不承担相应责任。</w:t>
      </w:r>
    </w:p>
    <w:p w14:paraId="3B7C3A3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13.7 有下列情形之一的，磋商保证金不予退还：</w:t>
      </w:r>
    </w:p>
    <w:p w14:paraId="6FA482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（1）供应商在提交响应文件截止时间后撤回响应文件的；</w:t>
      </w:r>
    </w:p>
    <w:p w14:paraId="60702BE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（2）供应商在响应文件中提供虚假材料的；</w:t>
      </w:r>
    </w:p>
    <w:p w14:paraId="688EEFF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（3）除因不可抗力或磋商文件认可的情形以外，成交供应商放弃成交资格或不与采购人签订合同的；</w:t>
      </w:r>
    </w:p>
    <w:p w14:paraId="1EA8D9C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（4）供应商与采购人、其他供应商或者采购代理机构恶意串通的；</w:t>
      </w:r>
    </w:p>
    <w:p w14:paraId="6011B2D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（5）成交后项目经理在其他项目上担任项目经理岗位，导致该项目经理无</w:t>
      </w:r>
    </w:p>
    <w:p w14:paraId="19E8AE9B">
      <w:pPr>
        <w:snapToGrid w:val="0"/>
        <w:spacing w:line="440" w:lineRule="exact"/>
        <w:contextualSpacing/>
        <w:jc w:val="left"/>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法进场履约，采购人报请采购监管部门取消其成交资格的。</w:t>
      </w:r>
    </w:p>
    <w:p w14:paraId="0FEDAC6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（6）供应商须知前附表中规定的其他不予退还磋商保证金的情形。</w:t>
      </w:r>
    </w:p>
    <w:p w14:paraId="30B158C4">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14 磋商有效期</w:t>
      </w:r>
    </w:p>
    <w:p w14:paraId="40B0EAB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14.1 磋商有效期为从响应文件提交截止之日算起的日历天数，磋商有效期详见供应商须知前附表。</w:t>
      </w:r>
    </w:p>
    <w:p w14:paraId="70DDEBF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14.2 在磋商有效期内，供应商的磋商保持有效，供应商不得要求撤销或修改其响应文件。磋商有效期不满足要求的响应，其响应文件将被认定为响应无效。</w:t>
      </w:r>
    </w:p>
    <w:p w14:paraId="6F3D332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14.3 为保证有充分时间签订合同，采购人或采购代理机构可根据实际情况，在原磋商有效期截止之前，要求供应商延长磋商有效期。接受该要求的供应商将不会被要求和允许修正其响应文件。供应商也可以拒绝延长磋商有效期的要求，且不承担任何责任。上述要求和答复都应以书面形式提交。</w:t>
      </w:r>
    </w:p>
    <w:p w14:paraId="360197DE">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15 响应文件的制作</w:t>
      </w:r>
    </w:p>
    <w:p w14:paraId="099431E4">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15.1响应文件须对竞争性磋商文件载明的投标资格、技术、资信、服务、报价等全部要求和条件做出实质性和完整的响应，如果投标响应文件填报的内容资料不详，或没有提供竞争性磋商文件中所要求的全部资料、证明及数据，将导致投标无效。</w:t>
      </w:r>
    </w:p>
    <w:p w14:paraId="28A51D0B">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15.2供应商应在投标响应文件中提交竞争性磋商文件要求的有关证明文件，作为其投标响应文件的一部分。</w:t>
      </w:r>
    </w:p>
    <w:p w14:paraId="673B01DD">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15.3供应商应在投标响应文件中提交竞争性磋商文件要求的所有服务的合格性以及符合竞争性磋商文件规定的证明文件（可以是手册和资料）等，并作为其投标响应文件的一部分。</w:t>
      </w:r>
    </w:p>
    <w:p w14:paraId="1D34EC7D">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15.4投标响应文件应编排有序、内容齐全、不得任意涂改或增删。如有错漏处必须修改，应在修改处加盖供应商公章。</w:t>
      </w:r>
    </w:p>
    <w:p w14:paraId="27DE14E9">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15.5 磋商现场提交的其他材料要求详见供应商须知前附表。</w:t>
      </w:r>
    </w:p>
    <w:p w14:paraId="5E14DFD3">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16 响应文件提交截止时间</w:t>
      </w:r>
    </w:p>
    <w:p w14:paraId="10D1687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16.1 供应商应在供应商须知前附表中规定的响应文件提交截止时间前，</w:t>
      </w:r>
      <w:r>
        <w:rPr>
          <w:rFonts w:hint="eastAsia" w:ascii="仿宋" w:hAnsi="仿宋" w:eastAsia="仿宋" w:cs="仿宋"/>
          <w:color w:val="auto"/>
          <w:sz w:val="28"/>
          <w:szCs w:val="28"/>
          <w:highlight w:val="none"/>
          <w:lang w:val="en-US" w:eastAsia="zh-CN" w:bidi="ar"/>
        </w:rPr>
        <w:t>在开标现场</w:t>
      </w:r>
      <w:r>
        <w:rPr>
          <w:rFonts w:hint="eastAsia" w:ascii="仿宋" w:hAnsi="仿宋" w:eastAsia="仿宋" w:cs="仿宋"/>
          <w:color w:val="auto"/>
          <w:sz w:val="28"/>
          <w:szCs w:val="28"/>
          <w:highlight w:val="none"/>
          <w:lang w:bidi="ar"/>
        </w:rPr>
        <w:t>提交响应文件。</w:t>
      </w:r>
    </w:p>
    <w:p w14:paraId="34724F6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16.</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采购人和采购代理机构延迟响应文件提交截止时间的。在此情况下，采购人、采购代理机构和供应商受响应文件提交截止时间制约的所有权利和义务均应延长至新的截止时间。</w:t>
      </w:r>
    </w:p>
    <w:p w14:paraId="6D63EA9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17 响应文件的提交、修改与撤回</w:t>
      </w:r>
    </w:p>
    <w:p w14:paraId="350AE2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17.1 供应商应当在第一章“磋商公告（磋商邀请）”规定的响应文件提交截止时间前，</w:t>
      </w:r>
      <w:r>
        <w:rPr>
          <w:rFonts w:hint="eastAsia" w:ascii="仿宋" w:hAnsi="仿宋" w:eastAsia="仿宋" w:cs="仿宋"/>
          <w:color w:val="auto"/>
          <w:sz w:val="28"/>
          <w:szCs w:val="28"/>
          <w:highlight w:val="none"/>
          <w:lang w:val="en-US" w:eastAsia="zh-CN" w:bidi="ar"/>
        </w:rPr>
        <w:t>在开标现场</w:t>
      </w:r>
      <w:r>
        <w:rPr>
          <w:rFonts w:hint="eastAsia" w:ascii="仿宋" w:hAnsi="仿宋" w:eastAsia="仿宋" w:cs="仿宋"/>
          <w:color w:val="auto"/>
          <w:sz w:val="28"/>
          <w:szCs w:val="28"/>
          <w:highlight w:val="none"/>
          <w:lang w:bidi="ar"/>
        </w:rPr>
        <w:t>提交响应文件。</w:t>
      </w:r>
    </w:p>
    <w:p w14:paraId="1E0B938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17.2 供应商应当在响应文件提交截止时间前完成响应文件的递交，并可以补充、修改或者撤回响应文件。未按规定密封或响应文件提交截止时间后送达的响应文件，采购人及采购代理机构应当拒收。</w:t>
      </w:r>
    </w:p>
    <w:p w14:paraId="66391B71">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17.3 在响应文件提交截止时间之后，供应商不得对其响应文件做任何修改。但属于磋商小组在评审中发现的计算错误并进行核实的修改、按照磋商文件的变动情况和</w:t>
      </w:r>
      <w:r>
        <w:rPr>
          <w:rFonts w:hint="eastAsia" w:ascii="仿宋" w:hAnsi="仿宋" w:eastAsia="仿宋" w:cs="仿宋"/>
          <w:color w:val="auto"/>
          <w:sz w:val="28"/>
          <w:szCs w:val="28"/>
          <w:highlight w:val="none"/>
          <w:lang w:val="en-US" w:eastAsia="zh-CN" w:bidi="ar"/>
        </w:rPr>
        <w:t>磋商</w:t>
      </w:r>
      <w:r>
        <w:rPr>
          <w:rFonts w:hint="eastAsia" w:ascii="仿宋" w:hAnsi="仿宋" w:eastAsia="仿宋" w:cs="仿宋"/>
          <w:color w:val="auto"/>
          <w:sz w:val="28"/>
          <w:szCs w:val="28"/>
          <w:highlight w:val="none"/>
          <w:lang w:bidi="ar"/>
        </w:rPr>
        <w:t>小组的要求重新提交响应文件的，不在此列。</w:t>
      </w:r>
    </w:p>
    <w:p w14:paraId="2309F6F5">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18 磋商小组</w:t>
      </w:r>
    </w:p>
    <w:p w14:paraId="77A1B9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18.1 本项目将依法组建磋商小组，磋商小组成员由 3 人以上单数组成，磋商小组及其成员应当依照有关规定履行相关职责和义务。</w:t>
      </w:r>
    </w:p>
    <w:p w14:paraId="27ED98A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18.2 磋商小组依法对响应文件进行评审，并根据磋商文件规定的程序、评定成交的标准等事项与实质性响应磋商文件要求的供应商进行磋商。</w:t>
      </w:r>
    </w:p>
    <w:p w14:paraId="1E4102F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18.3 磋商小组应当从质量和服务均能满足磋商文件实质性响应要求的供应商中，按照评审方法和标准推荐成交候选人，并编写评审报告。</w:t>
      </w:r>
    </w:p>
    <w:p w14:paraId="3AB7AD30">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19 响应文件的评审与磋商</w:t>
      </w:r>
    </w:p>
    <w:p w14:paraId="59C56E6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19.1 采购人和采购代理机构将在供应商须知前附表规定的时间和地点组织磋商。</w:t>
      </w:r>
    </w:p>
    <w:p w14:paraId="08FA5980">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2" w:name="_Toc144969061"/>
      <w:bookmarkStart w:id="603" w:name="_Toc144907640"/>
      <w:r>
        <w:rPr>
          <w:rFonts w:ascii="仿宋" w:hAnsi="仿宋" w:eastAsia="仿宋" w:cs="仿宋"/>
          <w:b w:val="0"/>
          <w:color w:val="auto"/>
          <w:sz w:val="28"/>
          <w:szCs w:val="28"/>
          <w:highlight w:val="none"/>
        </w:rPr>
        <w:t>19.2 竞争性磋商活动采用综合评分法评审。</w:t>
      </w:r>
      <w:bookmarkEnd w:id="602"/>
      <w:bookmarkEnd w:id="603"/>
    </w:p>
    <w:p w14:paraId="618383CF">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4" w:name="_Toc144907641"/>
      <w:bookmarkStart w:id="605" w:name="_Toc144969062"/>
      <w:r>
        <w:rPr>
          <w:rFonts w:ascii="仿宋" w:hAnsi="仿宋" w:eastAsia="仿宋" w:cs="仿宋"/>
          <w:b w:val="0"/>
          <w:color w:val="auto"/>
          <w:sz w:val="28"/>
          <w:szCs w:val="28"/>
          <w:highlight w:val="none"/>
        </w:rPr>
        <w:t>综合评分法，是指响应文件满足磋商文件全部实质性要求且按评审因素的量化指标评审得分最高的供应商为成交候选供应商的评审方法。</w:t>
      </w:r>
      <w:bookmarkEnd w:id="604"/>
      <w:bookmarkEnd w:id="605"/>
    </w:p>
    <w:p w14:paraId="43809B0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 磋商小组将按照磋商文件规定的评审办法和标准对供应商独立进行评审。评审程序如下：</w:t>
      </w:r>
    </w:p>
    <w:p w14:paraId="756ABE4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19.3.1 初审。磋商小组对供应商必须满足和实质性响应的内容进行评审，供应商未实质性响应磋商文件要求导致响应无效的，磋商小组将以书面询标的方式告知有关供应商。</w:t>
      </w:r>
    </w:p>
    <w:p w14:paraId="2952A7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19.3.2 磋商。初审合格后，磋商小组将按网上加密电子响应文件提交顺序集中与单一供应商分别进行磋商，并给予所有参加磋商的供应商平等的磋商机会，如供应商未到磋商现场的，视同放弃该权利。</w:t>
      </w:r>
    </w:p>
    <w:p w14:paraId="2E2FBAD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19.3.3 报价。磋商结束后，磋商小组应当要求所有继续参加磋商的供应商在规定时间内提交最后报价。</w:t>
      </w:r>
    </w:p>
    <w:p w14:paraId="1476B1E2">
      <w:pPr>
        <w:pStyle w:val="2"/>
        <w:adjustRightInd w:val="0"/>
        <w:snapToGrid w:val="0"/>
        <w:spacing w:line="440" w:lineRule="exact"/>
        <w:ind w:firstLine="560" w:firstLineChars="200"/>
        <w:contextualSpacing/>
        <w:rPr>
          <w:rFonts w:hint="default"/>
          <w:color w:val="auto"/>
          <w:highlight w:val="none"/>
          <w:lang w:bidi="ar"/>
        </w:rPr>
      </w:pPr>
      <w:bookmarkStart w:id="606" w:name="_Toc144969063"/>
      <w:bookmarkStart w:id="607" w:name="_Toc144907653"/>
      <w:r>
        <w:rPr>
          <w:rFonts w:ascii="仿宋" w:hAnsi="仿宋" w:eastAsia="仿宋" w:cs="仿宋"/>
          <w:b w:val="0"/>
          <w:color w:val="auto"/>
          <w:sz w:val="28"/>
          <w:szCs w:val="28"/>
          <w:highlight w:val="none"/>
        </w:rPr>
        <w:t>19.3.4 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bookmarkEnd w:id="606"/>
      <w:bookmarkEnd w:id="607"/>
    </w:p>
    <w:p w14:paraId="7BEA49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 相关说明。</w:t>
      </w:r>
    </w:p>
    <w:p w14:paraId="75BC68F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19.4.1 为保证磋商活动顺利进行，供应商可派相关技术人员进行现场答疑；</w:t>
      </w:r>
    </w:p>
    <w:p w14:paraId="5034A61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19.4.2 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063B7C3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19.4.3 磋商过程中，磋商小组发现供应商的报价或者某些分项报价明显不合理或者低于成本，有可能影响</w:t>
      </w:r>
      <w:r>
        <w:rPr>
          <w:rFonts w:hint="eastAsia" w:ascii="仿宋" w:hAnsi="仿宋" w:eastAsia="仿宋" w:cs="仿宋"/>
          <w:color w:val="auto"/>
          <w:sz w:val="28"/>
          <w:szCs w:val="28"/>
          <w:highlight w:val="none"/>
          <w:lang w:val="en-US" w:eastAsia="zh-CN" w:bidi="ar"/>
        </w:rPr>
        <w:t>工程</w:t>
      </w:r>
      <w:r>
        <w:rPr>
          <w:rFonts w:hint="eastAsia" w:ascii="仿宋" w:hAnsi="仿宋" w:eastAsia="仿宋" w:cs="仿宋"/>
          <w:color w:val="auto"/>
          <w:sz w:val="28"/>
          <w:szCs w:val="28"/>
          <w:highlight w:val="none"/>
          <w:lang w:bidi="ar"/>
        </w:rPr>
        <w:t>质量和不能诚信履约的，应当要求其在规定的期限内提供书面文件予以解释说明，并提交相关证明材料；否则，磋商小组可以取消该供应商的成交候选资格，按顺序由排在后面的成交候选人递补，以此类推。</w:t>
      </w:r>
    </w:p>
    <w:p w14:paraId="3ED527A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19.4.4 无论何种原因，即使供应商磋商时携带了证书材料的原件，但响应文件中未提供与之内容完全一致的扫描件的，磋商小组可以视同其未提供。</w:t>
      </w:r>
    </w:p>
    <w:p w14:paraId="5C267EC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19.4.5 磋商小组决定响应文件的响应性及符合性只根据响应文件本身的内容，而不寻求其他外部证据。</w:t>
      </w:r>
    </w:p>
    <w:p w14:paraId="4F64FF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19.5 供应商授权代表对磋商过程有疑义，以及认为采购人、采购代理机构相关工作人员有需要回避的情形的，应当场提出询问或者回避申请，并说明理由。</w:t>
      </w:r>
    </w:p>
    <w:p w14:paraId="2C44C5B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20 终止竞争性磋商</w:t>
      </w:r>
    </w:p>
    <w:p w14:paraId="7CBA015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20.1 出现下列情况之一时，采购人和采购代理机构有权宣布终止竞争性磋商采购，并将理由通知所有供应商：</w:t>
      </w:r>
    </w:p>
    <w:p w14:paraId="4484CFD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（1）有效供应商数量不足，导致本次磋商缺乏竞争的；</w:t>
      </w:r>
    </w:p>
    <w:p w14:paraId="12EF2B2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（2）出现影响采购公正的违法、违规行为的；</w:t>
      </w:r>
    </w:p>
    <w:p w14:paraId="159227C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（3）因重大变故，采购任务取消的；</w:t>
      </w:r>
    </w:p>
    <w:p w14:paraId="4258FF6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（4）法律法规规定的其他情形。</w:t>
      </w:r>
    </w:p>
    <w:p w14:paraId="70E0EE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21 响应文件的澄清、说明或更正</w:t>
      </w:r>
    </w:p>
    <w:p w14:paraId="52D6564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21.1 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EC472F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21.2 磋商小组要求供应商澄清、说明或者更正响应文件应当以书面形式（询标）作出。供应商的澄清、说明或者更正应当由法定代表人或其授权代表签字或者加盖公章。</w:t>
      </w:r>
    </w:p>
    <w:p w14:paraId="02F891F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如有询标，授权代表（或法定代表人）可携带本人有效身份证明原件参加询标。因授权代表联系不上、未到磋商现场等情形而无法接受磋商小组询标的，供应商自行承担相关风险。</w:t>
      </w:r>
    </w:p>
    <w:p w14:paraId="0A6032A3">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22 最后报价</w:t>
      </w:r>
    </w:p>
    <w:p w14:paraId="3371CE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 磋商并不限定只进行二轮报价，如果磋商小组认为有必要，可以要求供应商进行多轮报价。</w:t>
      </w:r>
    </w:p>
    <w:p w14:paraId="6425625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22.2 在磋商内容不做实质性变更或重大调整的前提下，供应商下轮报价不得高于上一轮报价。</w:t>
      </w:r>
    </w:p>
    <w:p w14:paraId="341D4A0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22.3 最后报价是供应商响应文件的有效组成部分，最后报价也是签订合同的依据。</w:t>
      </w:r>
    </w:p>
    <w:p w14:paraId="3FDA834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22.4 根据《安徽省财政厅 安徽省经济和信息化厅转发财政部 工业和信息化部关于印发〈政府采购促进中小企业发展管理办法〉的通知》（皖财购〔2020〕1668号）、《安徽省财政厅关于进一步优化政府采购营商环境的通知》（皖财购〔2022〕556号）、《财政部 司法部关于政府采购支持监狱企业发展有关问题的通知》（财库〔2014〕68号）和《财政部 民政部中国残疾人联合会关于促进残疾人就业政府采购政策的通知》 （财库〔2017〕141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14:paraId="6CC9A9E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联合体协议中约定，小型、微型企业和监狱企业的协议合同金额占到联合体协议合同总金额 30%以上的，可给予联合体报价按照供应商须知前附表中规定的标准扣除后参与评审。</w:t>
      </w:r>
    </w:p>
    <w:p w14:paraId="3EF01E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联合体各方均为小型、微型企业和监狱企业的，联合体视同为小型、微型企业和监狱企业。</w:t>
      </w:r>
    </w:p>
    <w:p w14:paraId="54ED39B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22.5 除国家政策性文件规定以外，供应商所报价格在合同实施期间不因市场变化因素而变动。</w:t>
      </w:r>
    </w:p>
    <w:p w14:paraId="359CAB4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22.6 供应商应当按照企业定额或 2018 版安徽省建设工程计价依据以及材料市场价格信息等，结合自身实力、施工经验、现场环境以及磋商文件的要求自主报价。</w:t>
      </w:r>
    </w:p>
    <w:p w14:paraId="3EDF707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 供应商的报价应严格执行下列标准，不得降低标准进行竞标。</w:t>
      </w:r>
    </w:p>
    <w:p w14:paraId="40FF65A2">
      <w:pPr>
        <w:pStyle w:val="7"/>
        <w:ind w:firstLine="560" w:firstLineChars="200"/>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22.7.1 不可竞争费用包括：按照有关规定执行</w:t>
      </w:r>
      <w:r>
        <w:rPr>
          <w:rFonts w:hint="eastAsia" w:ascii="仿宋" w:hAnsi="仿宋" w:eastAsia="仿宋" w:cs="仿宋"/>
          <w:color w:val="auto"/>
          <w:sz w:val="28"/>
          <w:szCs w:val="28"/>
          <w:highlight w:val="none"/>
          <w:lang w:eastAsia="zh-CN" w:bidi="ar"/>
        </w:rPr>
        <w:t>。</w:t>
      </w:r>
    </w:p>
    <w:p w14:paraId="6500991A">
      <w:pPr>
        <w:snapToGrid w:val="0"/>
        <w:spacing w:line="440" w:lineRule="exact"/>
        <w:ind w:firstLine="560" w:firstLineChars="200"/>
        <w:contextualSpacing/>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22.7.2 其他项目费：按照有关规定执行</w:t>
      </w:r>
      <w:r>
        <w:rPr>
          <w:rFonts w:hint="eastAsia" w:ascii="仿宋" w:hAnsi="仿宋" w:eastAsia="仿宋" w:cs="仿宋"/>
          <w:color w:val="auto"/>
          <w:sz w:val="28"/>
          <w:szCs w:val="28"/>
          <w:highlight w:val="none"/>
          <w:lang w:eastAsia="zh-CN" w:bidi="ar"/>
        </w:rPr>
        <w:t>。</w:t>
      </w:r>
    </w:p>
    <w:p w14:paraId="70F1C67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22.7.3 工程增值税税率：9%</w:t>
      </w:r>
    </w:p>
    <w:p w14:paraId="0AD21C4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22.7.4 磋商文件中明确的由采购人自行采购的材料费。</w:t>
      </w:r>
    </w:p>
    <w:p w14:paraId="5888F49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22.7.5 法规规章、上级文件规定的其他不可竞争费用。</w:t>
      </w:r>
    </w:p>
    <w:p w14:paraId="6B5DD18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22.8 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1AFBDC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22.9 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857B4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 工程材料</w:t>
      </w:r>
    </w:p>
    <w:p w14:paraId="3E65F19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22.10.1 材料供应方式：本工程使用的材料由承包人采购供应；</w:t>
      </w:r>
    </w:p>
    <w:p w14:paraId="0D646C1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22.10.2 材料价格：除甲供材和实行暂估价的材料及设备以外，由供应商自行采购的材料确定磋商最后报价时应充分考虑材料价格上涨等市场风险因素，成交后不作调整，综合单价中的材料费应包括材料运杂费、采保费及试验检验费。</w:t>
      </w:r>
    </w:p>
    <w:p w14:paraId="3F31B57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22.10.3 采购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19D5BE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前款所称暂估价，是指不能确定价格而由采购人在磋商文件中暂时估定的工程、货物、服务的金额。</w:t>
      </w:r>
    </w:p>
    <w:p w14:paraId="52C570D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22.11 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447DA14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 工程造价的确定与控制</w:t>
      </w:r>
    </w:p>
    <w:p w14:paraId="60C158E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22.12.1 本工程经定标后，工程总造价在磋商范围内包定，除经批准的设计变更、经济签证外，其它工程造价增减均不予签证计价。</w:t>
      </w:r>
    </w:p>
    <w:p w14:paraId="2FB6F24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22.12.2 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4A8628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22.12.3.1采购人发布的图纸清单及技术规范书，作为本次采购的基础依据。供应商应当在响应文件递交截止时间前提出全部疑问；否则视同认可本采购文件中所提供的工程量。经确定的清单中标后不再调整，供应商应按图纸、采购文件、清单等相关资料要求内容完成全部工程内容。</w:t>
      </w:r>
    </w:p>
    <w:p w14:paraId="1103A1C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22.12.3.</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在标前核量之后，如有少算、漏项或错项等，视为潜在供应商的自行优惠让利，对清单中的所有内容中标后不予调整（除因设计变更、工程变更或合同约定的其他调整因素外）。</w:t>
      </w:r>
    </w:p>
    <w:p w14:paraId="008AC92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22.12.4 供应商在规定时间内未对工程量清单提出疑问的，成交后，采购人不再对工程量清单的项目和数量进行校对调整。供应商必须按其报价完成竞争性磋商文件规定范围内的设计图纸规定的所有工程项目。</w:t>
      </w:r>
    </w:p>
    <w:p w14:paraId="56A0673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22.13 成交供应商在工程量清单报价书中所报的综合单价一律不予调整。</w:t>
      </w:r>
    </w:p>
    <w:p w14:paraId="71962D3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22.14 本工程不接受恶意不平衡报价，不保证最低价成交。</w:t>
      </w:r>
    </w:p>
    <w:p w14:paraId="457F1935">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23 成交候选人的推荐原则及标准</w:t>
      </w:r>
    </w:p>
    <w:p w14:paraId="73184F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23.1 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07B9DE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24 确定成交候选人和成交供应商</w:t>
      </w:r>
    </w:p>
    <w:p w14:paraId="4978D5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24.1 磋商小组按照最后报价由低到高的顺序和供应商须知前附表中规定确定成交候选人，并标明排列顺序。排名第一的成交候选人经采购人或采购人授权的磋商小组确定为成交供应商后，由采购代理机构在指定媒体上予以公告。</w:t>
      </w:r>
    </w:p>
    <w:p w14:paraId="0D19A454">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25 编写评审报告</w:t>
      </w:r>
    </w:p>
    <w:p w14:paraId="1427405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25.1 评审报告是根据全体磋商小组成员签字的原始评审记录和评审结果编写的报告，评审报告由磋商小组全体成员签字。对评审结论持有异议的磋商小组成员可以书面方式阐述其不同意见和理由。磋商小组成员拒绝在评标报告上签字且不陈述其不同意见和理由的，视为同意评审结论。</w:t>
      </w:r>
    </w:p>
    <w:p w14:paraId="3C9083FF">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26 保密要求</w:t>
      </w:r>
    </w:p>
    <w:p w14:paraId="7326E10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26.1 评审将在严格保密的情况下进行。</w:t>
      </w:r>
    </w:p>
    <w:p w14:paraId="6744DBD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26.2 有关人员应当遵守评审工作纪律，不得泄露评审文件、评审情况和评审中获悉的国家秘密、商业秘密。</w:t>
      </w:r>
    </w:p>
    <w:p w14:paraId="73DAE4D2">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27 成交结果公告</w:t>
      </w:r>
    </w:p>
    <w:p w14:paraId="0D0201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27.1 为体现“公开、公平、公正”的原则，磋商结束后，采购代理机构将在</w:t>
      </w:r>
      <w:r>
        <w:rPr>
          <w:rFonts w:hint="eastAsia" w:ascii="仿宋" w:hAnsi="仿宋" w:eastAsia="仿宋" w:cs="仿宋"/>
          <w:color w:val="auto"/>
          <w:sz w:val="28"/>
          <w:szCs w:val="28"/>
          <w:highlight w:val="none"/>
          <w:lang w:val="en-US" w:eastAsia="zh-CN" w:bidi="ar"/>
        </w:rPr>
        <w:t>磋商公告发布媒介上</w:t>
      </w:r>
      <w:r>
        <w:rPr>
          <w:rFonts w:hint="eastAsia" w:ascii="仿宋" w:hAnsi="仿宋" w:eastAsia="仿宋" w:cs="仿宋"/>
          <w:color w:val="auto"/>
          <w:sz w:val="28"/>
          <w:szCs w:val="28"/>
          <w:highlight w:val="none"/>
          <w:lang w:bidi="ar"/>
        </w:rPr>
        <w:t>发布成交结果公告。</w:t>
      </w:r>
    </w:p>
    <w:p w14:paraId="0F6D14A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27.2 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14:paraId="41725FBE">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28 成交通知书</w:t>
      </w:r>
    </w:p>
    <w:p w14:paraId="3B5A9B2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28.1 采购代理机构发布成交结果公告的同时以供应商须知前附表规定的形式向成交供应商发出成交通知书。</w:t>
      </w:r>
    </w:p>
    <w:p w14:paraId="6512D69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28.2 成交通知书对采购人和成交供应商具有同等法律效力。成交通知书发出以后，采购人改变成交结果或者成交供应商放弃成交资格，应当承担相应的法律责任。</w:t>
      </w:r>
    </w:p>
    <w:p w14:paraId="3C2BE5F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28.3 成交通知书是合同的组成部分。</w:t>
      </w:r>
    </w:p>
    <w:p w14:paraId="1800340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29 告知磋商结果</w:t>
      </w:r>
    </w:p>
    <w:p w14:paraId="212752A7">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8" w:name="_Toc144969064"/>
      <w:bookmarkStart w:id="609" w:name="_Toc144907695"/>
      <w:r>
        <w:rPr>
          <w:rFonts w:ascii="仿宋" w:hAnsi="仿宋" w:eastAsia="仿宋" w:cs="仿宋"/>
          <w:b w:val="0"/>
          <w:color w:val="auto"/>
          <w:sz w:val="28"/>
          <w:szCs w:val="28"/>
          <w:highlight w:val="none"/>
        </w:rPr>
        <w:t>29.1 在公告成交结果的同时，采购代理机构同时以供应商须知前附表规定的形式告知未成交供应商本人的评审得分和排序。</w:t>
      </w:r>
      <w:bookmarkEnd w:id="608"/>
      <w:bookmarkEnd w:id="609"/>
    </w:p>
    <w:p w14:paraId="0BDCABCD">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10" w:name="_Toc144907696"/>
      <w:bookmarkStart w:id="611" w:name="_Toc144969065"/>
      <w:r>
        <w:rPr>
          <w:rFonts w:ascii="仿宋" w:hAnsi="仿宋" w:eastAsia="仿宋" w:cs="仿宋"/>
          <w:b w:val="0"/>
          <w:color w:val="auto"/>
          <w:sz w:val="28"/>
          <w:szCs w:val="28"/>
          <w:highlight w:val="none"/>
        </w:rPr>
        <w:t>29.2 采购代理机构对未成交的供应商不做未成交原因的解释。</w:t>
      </w:r>
      <w:bookmarkEnd w:id="610"/>
      <w:bookmarkEnd w:id="611"/>
    </w:p>
    <w:p w14:paraId="32231DC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30 履约保证金</w:t>
      </w:r>
    </w:p>
    <w:p w14:paraId="7A4F46C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30.1 成交供应商应按照供应商须知前附表规定缴纳履约保证金。</w:t>
      </w:r>
    </w:p>
    <w:p w14:paraId="10742A4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30.2 如果成交供应商没有按照上述履约保证金的规定执行，将视为放弃成交资格。在此情况下，采购人可确定下一成交候选人为成交供应商，也可以重新开展采购活动。</w:t>
      </w:r>
    </w:p>
    <w:p w14:paraId="0801CDA0">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31 代理服务费</w:t>
      </w:r>
    </w:p>
    <w:p w14:paraId="6E6D2EA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31.1 本项目代理服务费的收取按供应商须知前附表的规定执行。</w:t>
      </w:r>
    </w:p>
    <w:p w14:paraId="73800B9F">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32.签订合同</w:t>
      </w:r>
    </w:p>
    <w:p w14:paraId="2AE5EFF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32.1 采购人与成交供应商应当自发出成交通知书之日起 7个工作日内签订合同。</w:t>
      </w:r>
    </w:p>
    <w:p w14:paraId="5F7E7BE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32.2 磋商文件、成交供应商的响应文件及其澄清文件等，均为签订合同的依据。</w:t>
      </w:r>
    </w:p>
    <w:p w14:paraId="2475F0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32.3 成交供应商拒绝与采购人签订合同的，采购人可以按照评审报告推荐的成交候选人名单排序，确定下一成交候选人为成交供应商，也可以重新开展采购活动。成交供应商拒绝签订采购合同的不得参加对该项目重新开展的采购活动。</w:t>
      </w:r>
    </w:p>
    <w:p w14:paraId="23705B7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33 廉洁自律规定</w:t>
      </w:r>
    </w:p>
    <w:p w14:paraId="5D68A8A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33.1 采购代理机构工作人员不得以不正当手段获取采购代理业务，不得与采购人、供应商恶意串通。</w:t>
      </w:r>
    </w:p>
    <w:p w14:paraId="6403429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33.2 采购代理机构工作人员不得接受采购人或者供应商组织的宴请、旅游、娱乐，不得收受礼品、现金、有价证券等，不得向采购人或者供应商报销应当由个人承担的费用。</w:t>
      </w:r>
    </w:p>
    <w:p w14:paraId="1D1A1DE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34 质疑的提出与接收</w:t>
      </w:r>
    </w:p>
    <w:p w14:paraId="35F0EC3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34.1 供应商认为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p>
    <w:p w14:paraId="675B29D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34.2 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1B7267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超出法定质疑期的、重复提出的、分次提出的或内容、形式不符合《政府采购质疑和投诉办法》的，质疑供应商将依法承担不利后果。</w:t>
      </w:r>
    </w:p>
    <w:p w14:paraId="1A0946E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34.3 采购代理机构质疑函接收部门、联系电话和通讯地址，见供应商须知前附表。</w:t>
      </w:r>
    </w:p>
    <w:p w14:paraId="52AA550D">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35 需要补充的其他内容</w:t>
      </w:r>
    </w:p>
    <w:p w14:paraId="7F84BA5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需要补充的其他内容，见供应商须知前附表。</w:t>
      </w:r>
    </w:p>
    <w:bookmarkEnd w:id="589"/>
    <w:bookmarkEnd w:id="590"/>
    <w:bookmarkEnd w:id="591"/>
    <w:bookmarkEnd w:id="598"/>
    <w:bookmarkEnd w:id="599"/>
    <w:bookmarkEnd w:id="600"/>
    <w:bookmarkEnd w:id="601"/>
    <w:p w14:paraId="14228D00">
      <w:pPr>
        <w:spacing w:line="392" w:lineRule="exact"/>
        <w:rPr>
          <w:rFonts w:ascii="仿宋" w:hAnsi="仿宋" w:eastAsia="仿宋" w:cs="仿宋"/>
          <w:color w:val="auto"/>
          <w:sz w:val="28"/>
          <w:szCs w:val="28"/>
          <w:highlight w:val="none"/>
          <w:lang w:bidi="ar"/>
        </w:rPr>
      </w:pPr>
    </w:p>
    <w:p w14:paraId="25B62486">
      <w:pPr>
        <w:rPr>
          <w:rFonts w:ascii="仿宋" w:hAnsi="仿宋" w:eastAsia="仿宋" w:cs="仿宋"/>
          <w:color w:val="auto"/>
          <w:sz w:val="28"/>
          <w:szCs w:val="28"/>
          <w:highlight w:val="none"/>
        </w:rPr>
      </w:pPr>
      <w:bookmarkStart w:id="612" w:name="_bookmark5"/>
      <w:bookmarkEnd w:id="612"/>
      <w:bookmarkStart w:id="613" w:name="_Toc32219"/>
      <w:bookmarkEnd w:id="613"/>
      <w:bookmarkStart w:id="614" w:name="第六章_采购合同"/>
      <w:bookmarkEnd w:id="614"/>
    </w:p>
    <w:p w14:paraId="27FE7B85">
      <w:pPr>
        <w:pStyle w:val="44"/>
        <w:rPr>
          <w:rFonts w:ascii="仿宋" w:hAnsi="仿宋" w:eastAsia="仿宋" w:cs="仿宋"/>
          <w:color w:val="auto"/>
          <w:sz w:val="28"/>
          <w:szCs w:val="28"/>
          <w:highlight w:val="none"/>
        </w:rPr>
      </w:pPr>
    </w:p>
    <w:p w14:paraId="7E048D07">
      <w:pPr>
        <w:rPr>
          <w:rFonts w:ascii="仿宋" w:hAnsi="仿宋" w:eastAsia="仿宋" w:cs="仿宋"/>
          <w:color w:val="auto"/>
          <w:sz w:val="28"/>
          <w:szCs w:val="28"/>
          <w:highlight w:val="none"/>
        </w:rPr>
      </w:pPr>
    </w:p>
    <w:p w14:paraId="4F4C5EEC">
      <w:pPr>
        <w:pStyle w:val="44"/>
        <w:rPr>
          <w:color w:val="auto"/>
          <w:highlight w:val="none"/>
        </w:rPr>
      </w:pPr>
    </w:p>
    <w:p w14:paraId="215BCB82">
      <w:pPr>
        <w:pStyle w:val="44"/>
        <w:jc w:val="both"/>
        <w:rPr>
          <w:color w:val="auto"/>
          <w:highlight w:val="none"/>
        </w:rPr>
      </w:pPr>
    </w:p>
    <w:p w14:paraId="52ABA4FE">
      <w:pPr>
        <w:rPr>
          <w:color w:val="auto"/>
          <w:highlight w:val="none"/>
        </w:rPr>
      </w:pPr>
    </w:p>
    <w:p w14:paraId="6BF4E2A4">
      <w:pPr>
        <w:rPr>
          <w:color w:val="auto"/>
          <w:highlight w:val="none"/>
        </w:rPr>
      </w:pPr>
    </w:p>
    <w:p w14:paraId="26B7AF02">
      <w:pPr>
        <w:rPr>
          <w:color w:val="auto"/>
          <w:highlight w:val="none"/>
        </w:rPr>
      </w:pPr>
    </w:p>
    <w:p w14:paraId="411F6058">
      <w:pPr>
        <w:rPr>
          <w:color w:val="auto"/>
          <w:highlight w:val="none"/>
        </w:rPr>
      </w:pPr>
    </w:p>
    <w:p w14:paraId="2F43460E">
      <w:pPr>
        <w:rPr>
          <w:color w:val="auto"/>
          <w:highlight w:val="none"/>
        </w:rPr>
      </w:pPr>
    </w:p>
    <w:p w14:paraId="3F3C05EA">
      <w:pPr>
        <w:rPr>
          <w:color w:val="auto"/>
          <w:highlight w:val="none"/>
        </w:rPr>
      </w:pPr>
    </w:p>
    <w:p w14:paraId="058EECD0">
      <w:pPr>
        <w:rPr>
          <w:color w:val="auto"/>
          <w:highlight w:val="none"/>
        </w:rPr>
      </w:pPr>
    </w:p>
    <w:p w14:paraId="3C8BD240">
      <w:pPr>
        <w:rPr>
          <w:color w:val="auto"/>
          <w:highlight w:val="none"/>
        </w:rPr>
      </w:pPr>
    </w:p>
    <w:p w14:paraId="56D998C5">
      <w:pPr>
        <w:rPr>
          <w:color w:val="auto"/>
          <w:highlight w:val="none"/>
        </w:rPr>
      </w:pPr>
    </w:p>
    <w:p w14:paraId="70DF38BC">
      <w:pPr>
        <w:rPr>
          <w:color w:val="auto"/>
          <w:highlight w:val="none"/>
        </w:rPr>
      </w:pPr>
    </w:p>
    <w:p w14:paraId="342ECFFF">
      <w:pPr>
        <w:rPr>
          <w:color w:val="auto"/>
          <w:highlight w:val="none"/>
        </w:rPr>
      </w:pPr>
    </w:p>
    <w:p w14:paraId="412A1232">
      <w:pPr>
        <w:rPr>
          <w:color w:val="auto"/>
          <w:highlight w:val="none"/>
        </w:rPr>
      </w:pPr>
    </w:p>
    <w:p w14:paraId="4B9B03D8">
      <w:pPr>
        <w:rPr>
          <w:color w:val="auto"/>
          <w:highlight w:val="none"/>
        </w:rPr>
      </w:pPr>
    </w:p>
    <w:p w14:paraId="08F3B675">
      <w:pPr>
        <w:rPr>
          <w:color w:val="auto"/>
          <w:highlight w:val="none"/>
        </w:rPr>
      </w:pPr>
    </w:p>
    <w:p w14:paraId="4A05DDE7">
      <w:pPr>
        <w:rPr>
          <w:color w:val="auto"/>
          <w:highlight w:val="none"/>
        </w:rPr>
      </w:pPr>
    </w:p>
    <w:p w14:paraId="16368482">
      <w:pPr>
        <w:rPr>
          <w:color w:val="auto"/>
          <w:highlight w:val="none"/>
        </w:rPr>
      </w:pPr>
    </w:p>
    <w:p w14:paraId="6E79ADC5">
      <w:pPr>
        <w:rPr>
          <w:color w:val="auto"/>
          <w:highlight w:val="none"/>
        </w:rPr>
      </w:pPr>
    </w:p>
    <w:p w14:paraId="4446F835">
      <w:pPr>
        <w:rPr>
          <w:color w:val="auto"/>
          <w:highlight w:val="none"/>
        </w:rPr>
      </w:pPr>
    </w:p>
    <w:p w14:paraId="3D7FEEE9">
      <w:pPr>
        <w:pStyle w:val="45"/>
        <w:spacing w:after="0"/>
        <w:jc w:val="center"/>
        <w:rPr>
          <w:rStyle w:val="43"/>
          <w:rFonts w:hint="default" w:ascii="Arial Unicode MS" w:hAnsi="仿宋" w:eastAsia="Arial Unicode MS" w:cs="仿宋"/>
          <w:b w:val="0"/>
          <w:color w:val="auto"/>
          <w:sz w:val="44"/>
          <w:szCs w:val="44"/>
          <w:highlight w:val="none"/>
        </w:rPr>
      </w:pPr>
      <w:bookmarkStart w:id="615" w:name="_Toc144969066"/>
      <w:r>
        <w:rPr>
          <w:rStyle w:val="43"/>
          <w:rFonts w:hint="default" w:ascii="Arial Unicode MS" w:hAnsi="仿宋" w:eastAsia="Arial Unicode MS" w:cs="仿宋"/>
          <w:b w:val="0"/>
          <w:color w:val="auto"/>
          <w:sz w:val="44"/>
          <w:szCs w:val="44"/>
          <w:highlight w:val="none"/>
        </w:rPr>
        <w:t>第四章 采购需求</w:t>
      </w:r>
      <w:bookmarkEnd w:id="615"/>
    </w:p>
    <w:p w14:paraId="35E46F5D">
      <w:pPr>
        <w:rPr>
          <w:rFonts w:hint="eastAsia" w:ascii="仿宋" w:hAnsi="仿宋" w:eastAsia="仿宋" w:cs="仿宋"/>
          <w:b/>
          <w:bCs/>
          <w:color w:val="auto"/>
          <w:sz w:val="28"/>
          <w:szCs w:val="28"/>
          <w:highlight w:val="none"/>
          <w:lang w:val="en-US" w:eastAsia="zh-CN"/>
        </w:rPr>
      </w:pPr>
      <w:bookmarkStart w:id="616" w:name="_Toc24710"/>
      <w:bookmarkEnd w:id="616"/>
    </w:p>
    <w:p w14:paraId="72E263D2">
      <w:pP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一、工程量清单及图纸（见采购公告附件）</w:t>
      </w:r>
    </w:p>
    <w:p w14:paraId="065E5299">
      <w:pPr>
        <w:rPr>
          <w:rFonts w:hint="eastAsia" w:ascii="仿宋" w:hAnsi="仿宋" w:eastAsia="仿宋" w:cs="仿宋"/>
          <w:b/>
          <w:bCs/>
          <w:color w:val="auto"/>
          <w:sz w:val="28"/>
          <w:szCs w:val="28"/>
          <w:highlight w:val="none"/>
          <w:lang w:val="en-US" w:eastAsia="zh-CN"/>
        </w:rPr>
      </w:pPr>
    </w:p>
    <w:p w14:paraId="1DCECC85">
      <w:pPr>
        <w:rPr>
          <w:rFonts w:hint="eastAsia" w:ascii="仿宋" w:hAnsi="仿宋" w:eastAsia="仿宋" w:cs="仿宋"/>
          <w:b/>
          <w:bCs/>
          <w:color w:val="auto"/>
          <w:sz w:val="28"/>
          <w:szCs w:val="28"/>
          <w:highlight w:val="none"/>
          <w:lang w:val="en-US" w:eastAsia="zh-CN"/>
        </w:rPr>
      </w:pPr>
    </w:p>
    <w:p w14:paraId="19EE609C">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其他要求</w:t>
      </w:r>
    </w:p>
    <w:p w14:paraId="30A1F1A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1.供应商需提供类似项目业绩。</w:t>
      </w:r>
    </w:p>
    <w:p w14:paraId="6C82217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2.人员配置：供应商需为本项目拟派的项目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、技术负责人、施工员、安全员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资料员</w:t>
      </w:r>
      <w:r>
        <w:rPr>
          <w:rFonts w:hint="eastAsia" w:ascii="仿宋" w:hAnsi="仿宋" w:eastAsia="仿宋" w:cs="仿宋"/>
          <w:color w:val="auto"/>
          <w:sz w:val="28"/>
          <w:szCs w:val="28"/>
          <w:highlight w:val="none"/>
        </w:rPr>
        <w:t>。</w:t>
      </w:r>
    </w:p>
    <w:p w14:paraId="2977A3E3">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3.施工组织设计：（1）主要施工方法；（2）确保工程质量的技术组织措施；（3）确保安全生产的技术组织措施；（4）确保工期的技术组织措施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确保文明施工的技术组织措施；（</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）确保机械设备的组织方案；（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）确保施工材料的组织方案；</w:t>
      </w:r>
    </w:p>
    <w:p w14:paraId="6000BD7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注：上述其他要求不作为资格评审项，相关评审内容在技术标中提供。</w:t>
      </w:r>
    </w:p>
    <w:p w14:paraId="57552BAC">
      <w:pPr>
        <w:pStyle w:val="2"/>
        <w:jc w:val="center"/>
        <w:rPr>
          <w:rFonts w:ascii="宋体" w:eastAsia="宋体" w:cs="宋体"/>
          <w:color w:val="auto"/>
          <w:sz w:val="28"/>
          <w:szCs w:val="28"/>
          <w:highlight w:val="none"/>
        </w:rPr>
      </w:pPr>
    </w:p>
    <w:p w14:paraId="64FF18F3">
      <w:pPr>
        <w:pStyle w:val="2"/>
        <w:jc w:val="center"/>
        <w:rPr>
          <w:rFonts w:ascii="宋体" w:eastAsia="宋体" w:cs="宋体"/>
          <w:color w:val="auto"/>
          <w:sz w:val="28"/>
          <w:szCs w:val="28"/>
          <w:highlight w:val="none"/>
        </w:rPr>
      </w:pPr>
    </w:p>
    <w:p w14:paraId="0363B29B">
      <w:pPr>
        <w:rPr>
          <w:rFonts w:hAnsi="黑体" w:cs="仿宋"/>
          <w:color w:val="auto"/>
          <w:highlight w:val="none"/>
        </w:rPr>
      </w:pPr>
    </w:p>
    <w:p w14:paraId="0F96E6D7">
      <w:pPr>
        <w:rPr>
          <w:rFonts w:hAnsi="黑体" w:cs="仿宋"/>
          <w:color w:val="auto"/>
          <w:highlight w:val="none"/>
        </w:rPr>
      </w:pPr>
    </w:p>
    <w:p w14:paraId="105EC1BC">
      <w:pPr>
        <w:rPr>
          <w:rFonts w:hAnsi="黑体" w:cs="仿宋"/>
          <w:color w:val="auto"/>
          <w:highlight w:val="none"/>
        </w:rPr>
      </w:pPr>
    </w:p>
    <w:p w14:paraId="564ED00B">
      <w:pPr>
        <w:rPr>
          <w:rFonts w:hAnsi="黑体" w:cs="仿宋"/>
          <w:color w:val="auto"/>
          <w:highlight w:val="none"/>
        </w:rPr>
      </w:pPr>
    </w:p>
    <w:p w14:paraId="616B247B">
      <w:pPr>
        <w:rPr>
          <w:rFonts w:hAnsi="黑体" w:cs="仿宋"/>
          <w:color w:val="auto"/>
          <w:highlight w:val="none"/>
        </w:rPr>
      </w:pPr>
    </w:p>
    <w:p w14:paraId="049A8A84">
      <w:pPr>
        <w:rPr>
          <w:rFonts w:hAnsi="黑体" w:cs="仿宋"/>
          <w:color w:val="auto"/>
          <w:highlight w:val="none"/>
        </w:rPr>
      </w:pPr>
    </w:p>
    <w:p w14:paraId="6A723789">
      <w:pPr>
        <w:rPr>
          <w:rFonts w:hAnsi="黑体" w:cs="仿宋"/>
          <w:color w:val="auto"/>
          <w:highlight w:val="none"/>
        </w:rPr>
      </w:pPr>
    </w:p>
    <w:p w14:paraId="7088168B">
      <w:pPr>
        <w:rPr>
          <w:rFonts w:hAnsi="黑体" w:cs="仿宋"/>
          <w:color w:val="auto"/>
          <w:highlight w:val="none"/>
        </w:rPr>
      </w:pPr>
    </w:p>
    <w:p w14:paraId="6844D860">
      <w:pPr>
        <w:rPr>
          <w:rFonts w:hAnsi="黑体" w:cs="仿宋"/>
          <w:color w:val="auto"/>
          <w:highlight w:val="none"/>
        </w:rPr>
      </w:pPr>
    </w:p>
    <w:p w14:paraId="51CFD8D9">
      <w:pPr>
        <w:rPr>
          <w:rFonts w:hAnsi="黑体" w:cs="仿宋"/>
          <w:color w:val="auto"/>
          <w:highlight w:val="none"/>
        </w:rPr>
      </w:pPr>
    </w:p>
    <w:p w14:paraId="483BA524">
      <w:pPr>
        <w:rPr>
          <w:rFonts w:hAnsi="黑体" w:cs="仿宋"/>
          <w:color w:val="auto"/>
          <w:highlight w:val="none"/>
        </w:rPr>
      </w:pPr>
    </w:p>
    <w:p w14:paraId="0C00CB46">
      <w:pPr>
        <w:rPr>
          <w:rFonts w:hAnsi="黑体" w:cs="仿宋"/>
          <w:color w:val="auto"/>
          <w:highlight w:val="none"/>
        </w:rPr>
      </w:pPr>
    </w:p>
    <w:p w14:paraId="300C713D">
      <w:pPr>
        <w:rPr>
          <w:rFonts w:hAnsi="黑体" w:cs="仿宋"/>
          <w:color w:val="auto"/>
          <w:highlight w:val="none"/>
        </w:rPr>
      </w:pPr>
    </w:p>
    <w:p w14:paraId="53CBDA2C">
      <w:pPr>
        <w:rPr>
          <w:rFonts w:hAnsi="黑体" w:cs="仿宋"/>
          <w:color w:val="auto"/>
          <w:highlight w:val="none"/>
        </w:rPr>
      </w:pPr>
    </w:p>
    <w:p w14:paraId="426DD232">
      <w:pPr>
        <w:rPr>
          <w:rFonts w:hAnsi="黑体" w:cs="仿宋"/>
          <w:color w:val="auto"/>
          <w:highlight w:val="none"/>
        </w:rPr>
      </w:pPr>
    </w:p>
    <w:p w14:paraId="5F33E71F">
      <w:pPr>
        <w:rPr>
          <w:rFonts w:hAnsi="黑体" w:cs="仿宋"/>
          <w:color w:val="auto"/>
          <w:highlight w:val="none"/>
        </w:rPr>
      </w:pPr>
    </w:p>
    <w:p w14:paraId="44D5802A">
      <w:pPr>
        <w:rPr>
          <w:rFonts w:hAnsi="黑体" w:cs="仿宋"/>
          <w:color w:val="auto"/>
          <w:highlight w:val="none"/>
        </w:rPr>
      </w:pPr>
    </w:p>
    <w:p w14:paraId="3D80371E">
      <w:pPr>
        <w:rPr>
          <w:rFonts w:hAnsi="黑体" w:cs="仿宋"/>
          <w:color w:val="auto"/>
          <w:highlight w:val="none"/>
        </w:rPr>
      </w:pPr>
    </w:p>
    <w:p w14:paraId="4FA11FF3">
      <w:pPr>
        <w:rPr>
          <w:rFonts w:hAnsi="黑体" w:cs="仿宋"/>
          <w:color w:val="auto"/>
          <w:highlight w:val="none"/>
        </w:rPr>
      </w:pPr>
    </w:p>
    <w:p w14:paraId="363C6C2D">
      <w:pPr>
        <w:rPr>
          <w:rFonts w:hAnsi="黑体" w:cs="仿宋"/>
          <w:color w:val="auto"/>
          <w:highlight w:val="none"/>
        </w:rPr>
      </w:pPr>
    </w:p>
    <w:p w14:paraId="3A9572C9">
      <w:pPr>
        <w:rPr>
          <w:rFonts w:hAnsi="黑体" w:cs="仿宋"/>
          <w:color w:val="auto"/>
          <w:highlight w:val="none"/>
        </w:rPr>
      </w:pPr>
    </w:p>
    <w:p w14:paraId="06DA236D">
      <w:pPr>
        <w:rPr>
          <w:rFonts w:hAnsi="黑体" w:cs="仿宋"/>
          <w:color w:val="auto"/>
          <w:highlight w:val="none"/>
        </w:rPr>
      </w:pPr>
    </w:p>
    <w:p w14:paraId="1878D901">
      <w:pPr>
        <w:rPr>
          <w:rFonts w:hAnsi="黑体" w:cs="仿宋"/>
          <w:color w:val="auto"/>
          <w:highlight w:val="none"/>
        </w:rPr>
      </w:pPr>
    </w:p>
    <w:p w14:paraId="33FF083D">
      <w:pPr>
        <w:rPr>
          <w:rFonts w:hAnsi="黑体" w:cs="仿宋"/>
          <w:color w:val="auto"/>
          <w:highlight w:val="none"/>
        </w:rPr>
      </w:pPr>
    </w:p>
    <w:p w14:paraId="5D4C0F15">
      <w:pPr>
        <w:rPr>
          <w:rFonts w:hAnsi="黑体" w:cs="仿宋"/>
          <w:color w:val="auto"/>
          <w:highlight w:val="none"/>
        </w:rPr>
      </w:pPr>
    </w:p>
    <w:p w14:paraId="45269418">
      <w:pPr>
        <w:rPr>
          <w:rFonts w:hAnsi="黑体" w:cs="仿宋"/>
          <w:color w:val="auto"/>
          <w:highlight w:val="none"/>
        </w:rPr>
      </w:pPr>
    </w:p>
    <w:p w14:paraId="269758A2">
      <w:pPr>
        <w:rPr>
          <w:rFonts w:hAnsi="黑体" w:cs="仿宋"/>
          <w:color w:val="auto"/>
          <w:highlight w:val="none"/>
        </w:rPr>
      </w:pPr>
    </w:p>
    <w:p w14:paraId="616554D3">
      <w:pPr>
        <w:rPr>
          <w:rFonts w:hAnsi="黑体" w:cs="仿宋"/>
          <w:color w:val="auto"/>
          <w:highlight w:val="none"/>
        </w:rPr>
      </w:pPr>
    </w:p>
    <w:p w14:paraId="00BDA971">
      <w:pPr>
        <w:rPr>
          <w:rFonts w:hAnsi="黑体" w:cs="仿宋"/>
          <w:color w:val="auto"/>
          <w:highlight w:val="none"/>
        </w:rPr>
      </w:pPr>
    </w:p>
    <w:p w14:paraId="6BE37655">
      <w:pPr>
        <w:rPr>
          <w:rFonts w:hAnsi="黑体" w:cs="仿宋"/>
          <w:color w:val="auto"/>
          <w:highlight w:val="none"/>
        </w:rPr>
      </w:pPr>
    </w:p>
    <w:p w14:paraId="661225BD">
      <w:pPr>
        <w:rPr>
          <w:rFonts w:hAnsi="黑体" w:cs="仿宋"/>
          <w:color w:val="auto"/>
          <w:highlight w:val="none"/>
        </w:rPr>
      </w:pPr>
    </w:p>
    <w:p w14:paraId="5280A275">
      <w:pPr>
        <w:pStyle w:val="45"/>
        <w:spacing w:after="0"/>
        <w:jc w:val="center"/>
        <w:rPr>
          <w:rStyle w:val="43"/>
          <w:rFonts w:hint="default" w:ascii="Arial Unicode MS" w:hAnsi="黑体" w:eastAsia="Arial Unicode MS" w:cs="仿宋"/>
          <w:b w:val="0"/>
          <w:color w:val="auto"/>
          <w:sz w:val="44"/>
          <w:szCs w:val="44"/>
          <w:highlight w:val="none"/>
        </w:rPr>
      </w:pPr>
      <w:bookmarkStart w:id="617" w:name="_Toc144969068"/>
      <w:bookmarkStart w:id="618" w:name="_Toc144907725"/>
      <w:r>
        <w:rPr>
          <w:rStyle w:val="43"/>
          <w:rFonts w:hint="default" w:ascii="Arial Unicode MS" w:hAnsi="黑体" w:eastAsia="Arial Unicode MS" w:cs="仿宋"/>
          <w:color w:val="auto"/>
          <w:sz w:val="44"/>
          <w:szCs w:val="44"/>
          <w:highlight w:val="none"/>
        </w:rPr>
        <w:t>第五章 评审方法和标准</w:t>
      </w:r>
      <w:bookmarkEnd w:id="617"/>
      <w:bookmarkEnd w:id="618"/>
    </w:p>
    <w:p w14:paraId="659672B9">
      <w:pPr>
        <w:pStyle w:val="2"/>
        <w:spacing w:line="440" w:lineRule="exact"/>
        <w:ind w:firstLine="560" w:firstLineChars="200"/>
        <w:rPr>
          <w:rFonts w:hint="default" w:hAnsi="黑体" w:cs="仿宋"/>
          <w:b w:val="0"/>
          <w:color w:val="auto"/>
          <w:sz w:val="28"/>
          <w:szCs w:val="28"/>
          <w:highlight w:val="none"/>
        </w:rPr>
      </w:pPr>
      <w:bookmarkStart w:id="619" w:name="_Toc143443749"/>
      <w:bookmarkStart w:id="620" w:name="_Toc144969069"/>
      <w:bookmarkStart w:id="621" w:name="_Toc144907726"/>
    </w:p>
    <w:p w14:paraId="3EDA53E9">
      <w:pPr>
        <w:pStyle w:val="2"/>
        <w:spacing w:line="440" w:lineRule="exact"/>
        <w:ind w:firstLine="560" w:firstLineChars="200"/>
        <w:rPr>
          <w:rFonts w:hint="default" w:hAnsi="黑体" w:cs="仿宋"/>
          <w:b w:val="0"/>
          <w:color w:val="auto"/>
          <w:sz w:val="28"/>
          <w:szCs w:val="28"/>
          <w:highlight w:val="none"/>
        </w:rPr>
      </w:pPr>
      <w:r>
        <w:rPr>
          <w:rFonts w:hAnsi="黑体" w:cs="仿宋"/>
          <w:b w:val="0"/>
          <w:color w:val="auto"/>
          <w:sz w:val="28"/>
          <w:szCs w:val="28"/>
          <w:highlight w:val="none"/>
        </w:rPr>
        <w:t>一、总则</w:t>
      </w:r>
      <w:bookmarkEnd w:id="619"/>
      <w:bookmarkEnd w:id="620"/>
      <w:bookmarkEnd w:id="621"/>
    </w:p>
    <w:p w14:paraId="6701C2B5">
      <w:pPr>
        <w:pStyle w:val="2"/>
        <w:spacing w:line="440" w:lineRule="exact"/>
        <w:ind w:firstLine="560" w:firstLineChars="200"/>
        <w:rPr>
          <w:rFonts w:hint="default" w:ascii="仿宋" w:hAnsi="仿宋" w:eastAsia="仿宋" w:cs="仿宋"/>
          <w:b w:val="0"/>
          <w:color w:val="auto"/>
          <w:sz w:val="28"/>
          <w:szCs w:val="28"/>
          <w:highlight w:val="none"/>
        </w:rPr>
      </w:pPr>
      <w:bookmarkStart w:id="622" w:name="_Toc143443750"/>
      <w:bookmarkStart w:id="623" w:name="_Toc144907727"/>
      <w:bookmarkStart w:id="624" w:name="_Toc144969070"/>
      <w:r>
        <w:rPr>
          <w:rFonts w:ascii="仿宋" w:hAnsi="仿宋" w:eastAsia="仿宋" w:cs="仿宋"/>
          <w:b w:val="0"/>
          <w:bCs/>
          <w:color w:val="auto"/>
          <w:sz w:val="28"/>
          <w:szCs w:val="28"/>
          <w:highlight w:val="none"/>
        </w:rPr>
        <w:t>第一条</w:t>
      </w:r>
      <w:r>
        <w:rPr>
          <w:rFonts w:ascii="仿宋" w:hAnsi="仿宋" w:eastAsia="仿宋" w:cs="仿宋"/>
          <w:b w:val="0"/>
          <w:color w:val="auto"/>
          <w:sz w:val="28"/>
          <w:szCs w:val="28"/>
          <w:highlight w:val="none"/>
        </w:rPr>
        <w:t xml:space="preserve"> 为了做好本项目招标评标工作，保证项目评审工作的正常有序进行，维护采购人、供应商的合法权益，</w:t>
      </w:r>
      <w:r>
        <w:rPr>
          <w:rFonts w:hint="eastAsia" w:ascii="仿宋" w:hAnsi="仿宋" w:eastAsia="仿宋" w:cs="仿宋"/>
          <w:b w:val="0"/>
          <w:color w:val="auto"/>
          <w:sz w:val="28"/>
          <w:szCs w:val="28"/>
          <w:highlight w:val="none"/>
          <w:lang w:val="en-US" w:eastAsia="zh-CN"/>
        </w:rPr>
        <w:t>参照</w:t>
      </w:r>
      <w:r>
        <w:rPr>
          <w:rFonts w:ascii="仿宋" w:hAnsi="仿宋" w:eastAsia="仿宋" w:cs="仿宋"/>
          <w:b w:val="0"/>
          <w:color w:val="auto"/>
          <w:sz w:val="28"/>
          <w:szCs w:val="28"/>
          <w:highlight w:val="none"/>
        </w:rPr>
        <w:t>《中华人民共和国政府采购法》等相关法律法规，本着公开、公平、公正的原则，制定评标办法。</w:t>
      </w:r>
      <w:bookmarkEnd w:id="622"/>
      <w:bookmarkEnd w:id="623"/>
      <w:bookmarkEnd w:id="624"/>
    </w:p>
    <w:p w14:paraId="6DDEC210">
      <w:pPr>
        <w:pStyle w:val="2"/>
        <w:spacing w:line="440" w:lineRule="exact"/>
        <w:ind w:firstLine="560" w:firstLineChars="200"/>
        <w:rPr>
          <w:rFonts w:hint="default" w:ascii="仿宋" w:hAnsi="仿宋" w:eastAsia="仿宋" w:cs="仿宋"/>
          <w:b w:val="0"/>
          <w:color w:val="auto"/>
          <w:sz w:val="28"/>
          <w:szCs w:val="28"/>
          <w:highlight w:val="none"/>
        </w:rPr>
      </w:pPr>
      <w:bookmarkStart w:id="625" w:name="_Toc144969071"/>
      <w:bookmarkStart w:id="626" w:name="_Toc144907728"/>
      <w:bookmarkStart w:id="627" w:name="_Toc143443751"/>
      <w:r>
        <w:rPr>
          <w:rFonts w:ascii="仿宋" w:hAnsi="仿宋" w:eastAsia="仿宋" w:cs="仿宋"/>
          <w:b w:val="0"/>
          <w:bCs/>
          <w:color w:val="auto"/>
          <w:sz w:val="28"/>
          <w:szCs w:val="28"/>
          <w:highlight w:val="none"/>
        </w:rPr>
        <w:t>第二条</w:t>
      </w:r>
      <w:r>
        <w:rPr>
          <w:rFonts w:ascii="仿宋" w:hAnsi="仿宋" w:eastAsia="仿宋" w:cs="仿宋"/>
          <w:b w:val="0"/>
          <w:color w:val="auto"/>
          <w:sz w:val="28"/>
          <w:szCs w:val="28"/>
          <w:highlight w:val="none"/>
        </w:rPr>
        <w:t xml:space="preserve"> 本项目采用综合评分对供应商标书的比较方法。</w:t>
      </w:r>
      <w:bookmarkEnd w:id="625"/>
      <w:bookmarkEnd w:id="626"/>
      <w:bookmarkEnd w:id="627"/>
    </w:p>
    <w:p w14:paraId="50E6135A">
      <w:pPr>
        <w:pStyle w:val="2"/>
        <w:spacing w:line="440" w:lineRule="exact"/>
        <w:ind w:firstLine="560" w:firstLineChars="200"/>
        <w:rPr>
          <w:rFonts w:hint="default" w:ascii="仿宋" w:hAnsi="仿宋" w:eastAsia="仿宋" w:cs="仿宋"/>
          <w:b w:val="0"/>
          <w:color w:val="auto"/>
          <w:sz w:val="28"/>
          <w:szCs w:val="28"/>
          <w:highlight w:val="none"/>
        </w:rPr>
      </w:pPr>
      <w:bookmarkStart w:id="628" w:name="_Toc144969072"/>
      <w:bookmarkStart w:id="629" w:name="_Toc143443752"/>
      <w:bookmarkStart w:id="630" w:name="_Toc144907729"/>
      <w:r>
        <w:rPr>
          <w:rFonts w:ascii="仿宋" w:hAnsi="仿宋" w:eastAsia="仿宋" w:cs="仿宋"/>
          <w:b w:val="0"/>
          <w:bCs/>
          <w:color w:val="auto"/>
          <w:sz w:val="28"/>
          <w:szCs w:val="28"/>
          <w:highlight w:val="none"/>
        </w:rPr>
        <w:t>第三条</w:t>
      </w:r>
      <w:r>
        <w:rPr>
          <w:rFonts w:ascii="仿宋" w:hAnsi="仿宋" w:eastAsia="仿宋" w:cs="仿宋"/>
          <w:b w:val="0"/>
          <w:color w:val="auto"/>
          <w:sz w:val="28"/>
          <w:szCs w:val="28"/>
          <w:highlight w:val="none"/>
        </w:rPr>
        <w:t xml:space="preserve"> 采购人负责抽取组织不少于3人组成的磋商小组，负责本项目的评标工作。</w:t>
      </w:r>
      <w:bookmarkEnd w:id="628"/>
      <w:bookmarkEnd w:id="629"/>
      <w:bookmarkEnd w:id="630"/>
    </w:p>
    <w:p w14:paraId="37C8317C">
      <w:pPr>
        <w:spacing w:line="440" w:lineRule="exact"/>
        <w:ind w:firstLine="560" w:firstLineChars="200"/>
        <w:rPr>
          <w:rFonts w:ascii="仿宋" w:hAnsi="仿宋" w:eastAsia="仿宋" w:cs="仿宋"/>
          <w:snapToGrid w:val="0"/>
          <w:color w:val="auto"/>
          <w:kern w:val="0"/>
          <w:sz w:val="28"/>
          <w:szCs w:val="28"/>
          <w:highlight w:val="none"/>
        </w:rPr>
      </w:pPr>
      <w:r>
        <w:rPr>
          <w:rFonts w:hint="eastAsia" w:ascii="仿宋" w:hAnsi="仿宋" w:eastAsia="仿宋" w:cs="仿宋"/>
          <w:bCs/>
          <w:color w:val="auto"/>
          <w:sz w:val="28"/>
          <w:szCs w:val="28"/>
          <w:highlight w:val="none"/>
        </w:rPr>
        <w:t>第四条</w:t>
      </w:r>
      <w:r>
        <w:rPr>
          <w:rFonts w:hint="eastAsia" w:ascii="仿宋" w:hAnsi="仿宋" w:eastAsia="仿宋" w:cs="仿宋"/>
          <w:color w:val="auto"/>
          <w:sz w:val="28"/>
          <w:szCs w:val="28"/>
          <w:highlight w:val="none"/>
        </w:rPr>
        <w:t xml:space="preserve"> </w:t>
      </w:r>
      <w:r>
        <w:rPr>
          <w:rFonts w:hint="eastAsia" w:ascii="仿宋" w:hAnsi="仿宋" w:eastAsia="仿宋" w:cs="仿宋"/>
          <w:snapToGrid w:val="0"/>
          <w:color w:val="auto"/>
          <w:kern w:val="0"/>
          <w:sz w:val="28"/>
          <w:szCs w:val="28"/>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C72FA38">
      <w:pPr>
        <w:pStyle w:val="2"/>
        <w:spacing w:line="440" w:lineRule="exact"/>
        <w:ind w:firstLine="560" w:firstLineChars="200"/>
        <w:rPr>
          <w:rFonts w:hint="default" w:hAnsi="黑体" w:cs="仿宋"/>
          <w:b w:val="0"/>
          <w:color w:val="auto"/>
          <w:sz w:val="28"/>
          <w:szCs w:val="28"/>
          <w:highlight w:val="none"/>
        </w:rPr>
      </w:pPr>
      <w:bookmarkStart w:id="631" w:name="_Toc144969073"/>
      <w:bookmarkStart w:id="632" w:name="_Toc144907730"/>
      <w:bookmarkStart w:id="633" w:name="_Toc143443753"/>
      <w:r>
        <w:rPr>
          <w:rFonts w:hAnsi="黑体" w:cs="仿宋"/>
          <w:b w:val="0"/>
          <w:color w:val="auto"/>
          <w:sz w:val="28"/>
          <w:szCs w:val="28"/>
          <w:highlight w:val="none"/>
        </w:rPr>
        <w:t>二、评审方法和标准</w:t>
      </w:r>
      <w:bookmarkEnd w:id="631"/>
      <w:bookmarkEnd w:id="632"/>
      <w:bookmarkEnd w:id="633"/>
    </w:p>
    <w:p w14:paraId="1256F31B">
      <w:pPr>
        <w:pStyle w:val="2"/>
        <w:spacing w:line="440" w:lineRule="exact"/>
        <w:ind w:firstLine="560" w:firstLineChars="200"/>
        <w:rPr>
          <w:rFonts w:hint="default" w:ascii="仿宋" w:hAnsi="仿宋" w:eastAsia="仿宋" w:cs="仿宋"/>
          <w:b w:val="0"/>
          <w:color w:val="auto"/>
          <w:sz w:val="28"/>
          <w:szCs w:val="28"/>
          <w:highlight w:val="none"/>
        </w:rPr>
      </w:pPr>
      <w:bookmarkStart w:id="634" w:name="_Toc143443754"/>
      <w:bookmarkStart w:id="635" w:name="_Toc144969074"/>
      <w:bookmarkStart w:id="636" w:name="_Toc144907731"/>
      <w:r>
        <w:rPr>
          <w:rFonts w:ascii="仿宋" w:hAnsi="仿宋" w:eastAsia="仿宋" w:cs="仿宋"/>
          <w:b w:val="0"/>
          <w:bCs/>
          <w:color w:val="auto"/>
          <w:sz w:val="28"/>
          <w:szCs w:val="28"/>
          <w:highlight w:val="none"/>
        </w:rPr>
        <w:t>第五条</w:t>
      </w:r>
      <w:r>
        <w:rPr>
          <w:rFonts w:ascii="仿宋" w:hAnsi="仿宋" w:eastAsia="仿宋" w:cs="仿宋"/>
          <w:b w:val="0"/>
          <w:color w:val="auto"/>
          <w:sz w:val="28"/>
          <w:szCs w:val="28"/>
          <w:highlight w:val="none"/>
        </w:rPr>
        <w:t xml:space="preserve"> 磋商工作于开标后进行。</w:t>
      </w:r>
      <w:r>
        <w:rPr>
          <w:rFonts w:ascii="仿宋" w:hAnsi="仿宋" w:eastAsia="仿宋" w:cs="仿宋"/>
          <w:b w:val="0"/>
          <w:bCs/>
          <w:snapToGrid w:val="0"/>
          <w:color w:val="auto"/>
          <w:sz w:val="28"/>
          <w:szCs w:val="28"/>
          <w:highlight w:val="none"/>
        </w:rPr>
        <w:t>磋商小组</w:t>
      </w:r>
      <w:r>
        <w:rPr>
          <w:rFonts w:ascii="仿宋" w:hAnsi="仿宋" w:eastAsia="仿宋" w:cs="仿宋"/>
          <w:b w:val="0"/>
          <w:color w:val="auto"/>
          <w:sz w:val="28"/>
          <w:szCs w:val="28"/>
          <w:highlight w:val="none"/>
        </w:rPr>
        <w:t>应认真研究磋商文件，至少应了解和熟悉以下内容：</w:t>
      </w:r>
      <w:bookmarkEnd w:id="634"/>
      <w:bookmarkEnd w:id="635"/>
      <w:bookmarkEnd w:id="636"/>
    </w:p>
    <w:p w14:paraId="07222D2D">
      <w:pPr>
        <w:pStyle w:val="2"/>
        <w:spacing w:line="440" w:lineRule="exact"/>
        <w:ind w:firstLine="560" w:firstLineChars="200"/>
        <w:rPr>
          <w:rFonts w:hint="default" w:ascii="仿宋" w:hAnsi="仿宋" w:eastAsia="仿宋" w:cs="仿宋"/>
          <w:b w:val="0"/>
          <w:color w:val="auto"/>
          <w:sz w:val="28"/>
          <w:szCs w:val="28"/>
          <w:highlight w:val="none"/>
        </w:rPr>
      </w:pPr>
      <w:bookmarkStart w:id="637" w:name="_Toc143443755"/>
      <w:bookmarkStart w:id="638" w:name="_Toc144907732"/>
      <w:bookmarkStart w:id="639" w:name="_Toc144969075"/>
      <w:r>
        <w:rPr>
          <w:rFonts w:ascii="仿宋" w:hAnsi="仿宋" w:eastAsia="仿宋" w:cs="仿宋"/>
          <w:b w:val="0"/>
          <w:color w:val="auto"/>
          <w:sz w:val="28"/>
          <w:szCs w:val="28"/>
          <w:highlight w:val="none"/>
        </w:rPr>
        <w:t>（一）采购的目标；</w:t>
      </w:r>
      <w:bookmarkEnd w:id="637"/>
      <w:bookmarkEnd w:id="638"/>
      <w:bookmarkEnd w:id="639"/>
    </w:p>
    <w:p w14:paraId="02074E39">
      <w:pPr>
        <w:pStyle w:val="2"/>
        <w:spacing w:line="440" w:lineRule="exact"/>
        <w:ind w:firstLine="560" w:firstLineChars="200"/>
        <w:rPr>
          <w:rFonts w:hint="default" w:ascii="仿宋" w:hAnsi="仿宋" w:eastAsia="仿宋" w:cs="仿宋"/>
          <w:b w:val="0"/>
          <w:color w:val="auto"/>
          <w:sz w:val="28"/>
          <w:szCs w:val="28"/>
          <w:highlight w:val="none"/>
        </w:rPr>
      </w:pPr>
      <w:bookmarkStart w:id="640" w:name="_Toc144907733"/>
      <w:bookmarkStart w:id="641" w:name="_Toc143443756"/>
      <w:bookmarkStart w:id="642" w:name="_Toc144969076"/>
      <w:r>
        <w:rPr>
          <w:rFonts w:ascii="仿宋" w:hAnsi="仿宋" w:eastAsia="仿宋" w:cs="仿宋"/>
          <w:b w:val="0"/>
          <w:color w:val="auto"/>
          <w:sz w:val="28"/>
          <w:szCs w:val="28"/>
          <w:highlight w:val="none"/>
        </w:rPr>
        <w:t>（二）采购项目的范围和性质；</w:t>
      </w:r>
      <w:bookmarkEnd w:id="640"/>
      <w:bookmarkEnd w:id="641"/>
      <w:bookmarkEnd w:id="642"/>
    </w:p>
    <w:p w14:paraId="7AE26B70">
      <w:pPr>
        <w:pStyle w:val="2"/>
        <w:spacing w:line="440" w:lineRule="exact"/>
        <w:ind w:firstLine="560" w:firstLineChars="200"/>
        <w:rPr>
          <w:rFonts w:hint="default" w:ascii="仿宋" w:hAnsi="仿宋" w:eastAsia="仿宋" w:cs="仿宋"/>
          <w:b w:val="0"/>
          <w:color w:val="auto"/>
          <w:sz w:val="28"/>
          <w:szCs w:val="28"/>
          <w:highlight w:val="none"/>
        </w:rPr>
      </w:pPr>
      <w:bookmarkStart w:id="643" w:name="_Toc143443757"/>
      <w:bookmarkStart w:id="644" w:name="_Toc144969077"/>
      <w:bookmarkStart w:id="645" w:name="_Toc144907734"/>
      <w:r>
        <w:rPr>
          <w:rFonts w:ascii="仿宋" w:hAnsi="仿宋" w:eastAsia="仿宋" w:cs="仿宋"/>
          <w:b w:val="0"/>
          <w:color w:val="auto"/>
          <w:sz w:val="28"/>
          <w:szCs w:val="28"/>
          <w:highlight w:val="none"/>
        </w:rPr>
        <w:t>（三）磋商文件中规定的主要技术要求、标准和商务条款；</w:t>
      </w:r>
      <w:bookmarkEnd w:id="643"/>
      <w:bookmarkEnd w:id="644"/>
      <w:bookmarkEnd w:id="645"/>
    </w:p>
    <w:p w14:paraId="647B9A51">
      <w:pPr>
        <w:pStyle w:val="2"/>
        <w:spacing w:line="440" w:lineRule="exact"/>
        <w:ind w:firstLine="560" w:firstLineChars="200"/>
        <w:rPr>
          <w:rFonts w:hint="default" w:ascii="仿宋" w:hAnsi="仿宋" w:eastAsia="仿宋" w:cs="仿宋"/>
          <w:b w:val="0"/>
          <w:color w:val="auto"/>
          <w:sz w:val="28"/>
          <w:szCs w:val="28"/>
          <w:highlight w:val="none"/>
        </w:rPr>
      </w:pPr>
      <w:bookmarkStart w:id="646" w:name="_Toc144907735"/>
      <w:bookmarkStart w:id="647" w:name="_Toc143443758"/>
      <w:bookmarkStart w:id="648" w:name="_Toc144969078"/>
      <w:r>
        <w:rPr>
          <w:rFonts w:ascii="仿宋" w:hAnsi="仿宋" w:eastAsia="仿宋" w:cs="仿宋"/>
          <w:b w:val="0"/>
          <w:color w:val="auto"/>
          <w:sz w:val="28"/>
          <w:szCs w:val="28"/>
          <w:highlight w:val="none"/>
        </w:rPr>
        <w:t>（四）磋商文件规定的评标标准、评标方法和在评标过程中考虑的相关因素。</w:t>
      </w:r>
      <w:bookmarkEnd w:id="646"/>
      <w:bookmarkEnd w:id="647"/>
      <w:bookmarkEnd w:id="648"/>
      <w:r>
        <w:rPr>
          <w:rFonts w:ascii="仿宋" w:hAnsi="仿宋" w:eastAsia="仿宋" w:cs="仿宋"/>
          <w:b w:val="0"/>
          <w:color w:val="auto"/>
          <w:sz w:val="28"/>
          <w:szCs w:val="28"/>
          <w:highlight w:val="none"/>
        </w:rPr>
        <w:t xml:space="preserve"> </w:t>
      </w:r>
    </w:p>
    <w:p w14:paraId="0378E352">
      <w:pPr>
        <w:pStyle w:val="2"/>
        <w:spacing w:line="440" w:lineRule="exact"/>
        <w:ind w:firstLine="560" w:firstLineChars="200"/>
        <w:rPr>
          <w:rFonts w:hint="default" w:ascii="仿宋" w:hAnsi="仿宋" w:eastAsia="仿宋" w:cs="仿宋"/>
          <w:b w:val="0"/>
          <w:color w:val="auto"/>
          <w:sz w:val="28"/>
          <w:szCs w:val="28"/>
          <w:highlight w:val="none"/>
        </w:rPr>
      </w:pPr>
      <w:bookmarkStart w:id="649" w:name="_Toc144969079"/>
      <w:bookmarkStart w:id="650" w:name="_Toc143443759"/>
      <w:bookmarkStart w:id="651" w:name="_Toc144907736"/>
      <w:r>
        <w:rPr>
          <w:rFonts w:ascii="仿宋" w:hAnsi="仿宋" w:eastAsia="仿宋" w:cs="仿宋"/>
          <w:b w:val="0"/>
          <w:bCs/>
          <w:color w:val="auto"/>
          <w:sz w:val="28"/>
          <w:szCs w:val="28"/>
          <w:highlight w:val="none"/>
        </w:rPr>
        <w:t>第六条</w:t>
      </w:r>
      <w:r>
        <w:rPr>
          <w:rFonts w:ascii="仿宋" w:hAnsi="仿宋" w:eastAsia="仿宋" w:cs="仿宋"/>
          <w:b w:val="0"/>
          <w:color w:val="auto"/>
          <w:sz w:val="28"/>
          <w:szCs w:val="28"/>
          <w:highlight w:val="none"/>
        </w:rPr>
        <w:t xml:space="preserve"> 有效投标应符合以下原则：</w:t>
      </w:r>
      <w:bookmarkEnd w:id="649"/>
      <w:bookmarkEnd w:id="650"/>
      <w:bookmarkEnd w:id="651"/>
    </w:p>
    <w:p w14:paraId="4B864066">
      <w:pPr>
        <w:pStyle w:val="2"/>
        <w:spacing w:line="440" w:lineRule="exact"/>
        <w:ind w:firstLine="560" w:firstLineChars="200"/>
        <w:rPr>
          <w:rFonts w:hint="default" w:ascii="仿宋" w:hAnsi="仿宋" w:eastAsia="仿宋" w:cs="仿宋"/>
          <w:b w:val="0"/>
          <w:color w:val="auto"/>
          <w:sz w:val="28"/>
          <w:szCs w:val="28"/>
          <w:highlight w:val="none"/>
        </w:rPr>
      </w:pPr>
      <w:bookmarkStart w:id="652" w:name="_Toc144969080"/>
      <w:bookmarkStart w:id="653" w:name="_Toc144907737"/>
      <w:bookmarkStart w:id="654" w:name="_Toc143443760"/>
      <w:r>
        <w:rPr>
          <w:rFonts w:ascii="仿宋" w:hAnsi="仿宋" w:eastAsia="仿宋" w:cs="仿宋"/>
          <w:b w:val="0"/>
          <w:color w:val="auto"/>
          <w:sz w:val="28"/>
          <w:szCs w:val="28"/>
          <w:highlight w:val="none"/>
        </w:rPr>
        <w:t>（一）满足磋商文件的实质性要求；</w:t>
      </w:r>
      <w:bookmarkEnd w:id="652"/>
      <w:bookmarkEnd w:id="653"/>
      <w:bookmarkEnd w:id="654"/>
    </w:p>
    <w:p w14:paraId="6BD3E092">
      <w:pPr>
        <w:pStyle w:val="2"/>
        <w:spacing w:line="440" w:lineRule="exact"/>
        <w:ind w:firstLine="560" w:firstLineChars="200"/>
        <w:rPr>
          <w:rFonts w:hint="default" w:ascii="仿宋" w:hAnsi="仿宋" w:eastAsia="仿宋" w:cs="仿宋"/>
          <w:b w:val="0"/>
          <w:color w:val="auto"/>
          <w:sz w:val="28"/>
          <w:szCs w:val="28"/>
          <w:highlight w:val="none"/>
        </w:rPr>
      </w:pPr>
      <w:bookmarkStart w:id="655" w:name="_Toc144907738"/>
      <w:bookmarkStart w:id="656" w:name="_Toc144969081"/>
      <w:bookmarkStart w:id="657" w:name="_Toc143443761"/>
      <w:r>
        <w:rPr>
          <w:rFonts w:ascii="仿宋" w:hAnsi="仿宋" w:eastAsia="仿宋" w:cs="仿宋"/>
          <w:b w:val="0"/>
          <w:color w:val="auto"/>
          <w:sz w:val="28"/>
          <w:szCs w:val="28"/>
          <w:highlight w:val="none"/>
        </w:rPr>
        <w:t>（二）无重大偏离、保留或采购人不能接受的附加条件；</w:t>
      </w:r>
      <w:bookmarkEnd w:id="655"/>
      <w:bookmarkEnd w:id="656"/>
      <w:bookmarkEnd w:id="657"/>
    </w:p>
    <w:p w14:paraId="7BB64CAE">
      <w:pPr>
        <w:pStyle w:val="2"/>
        <w:spacing w:line="440" w:lineRule="exact"/>
        <w:ind w:firstLine="560" w:firstLineChars="200"/>
        <w:rPr>
          <w:rFonts w:hint="default" w:ascii="仿宋" w:hAnsi="仿宋" w:eastAsia="仿宋" w:cs="仿宋"/>
          <w:b w:val="0"/>
          <w:color w:val="auto"/>
          <w:sz w:val="28"/>
          <w:szCs w:val="28"/>
          <w:highlight w:val="none"/>
        </w:rPr>
      </w:pPr>
      <w:bookmarkStart w:id="658" w:name="_Toc143443762"/>
      <w:bookmarkStart w:id="659" w:name="_Toc144969082"/>
      <w:bookmarkStart w:id="660" w:name="_Toc144907739"/>
      <w:r>
        <w:rPr>
          <w:rFonts w:ascii="仿宋" w:hAnsi="仿宋" w:eastAsia="仿宋" w:cs="仿宋"/>
          <w:b w:val="0"/>
          <w:color w:val="auto"/>
          <w:sz w:val="28"/>
          <w:szCs w:val="28"/>
          <w:highlight w:val="none"/>
        </w:rPr>
        <w:t>（三）通过投标有效性评审；</w:t>
      </w:r>
      <w:bookmarkEnd w:id="658"/>
      <w:bookmarkEnd w:id="659"/>
      <w:bookmarkEnd w:id="660"/>
      <w:r>
        <w:rPr>
          <w:rFonts w:ascii="仿宋" w:hAnsi="仿宋" w:eastAsia="仿宋" w:cs="仿宋"/>
          <w:b w:val="0"/>
          <w:color w:val="auto"/>
          <w:sz w:val="28"/>
          <w:szCs w:val="28"/>
          <w:highlight w:val="none"/>
        </w:rPr>
        <w:t xml:space="preserve"> </w:t>
      </w:r>
    </w:p>
    <w:p w14:paraId="6109903F">
      <w:pPr>
        <w:pStyle w:val="2"/>
        <w:spacing w:line="440" w:lineRule="exact"/>
        <w:ind w:firstLine="560" w:firstLineChars="200"/>
        <w:rPr>
          <w:rFonts w:hint="default" w:ascii="仿宋" w:hAnsi="仿宋" w:eastAsia="仿宋" w:cs="仿宋"/>
          <w:b w:val="0"/>
          <w:color w:val="auto"/>
          <w:sz w:val="28"/>
          <w:szCs w:val="28"/>
          <w:highlight w:val="none"/>
        </w:rPr>
      </w:pPr>
      <w:bookmarkStart w:id="661" w:name="_Toc143443763"/>
      <w:bookmarkStart w:id="662" w:name="_Toc144969083"/>
      <w:bookmarkStart w:id="663" w:name="_Toc144907740"/>
      <w:r>
        <w:rPr>
          <w:rFonts w:ascii="仿宋" w:hAnsi="仿宋" w:eastAsia="仿宋" w:cs="仿宋"/>
          <w:b w:val="0"/>
          <w:color w:val="auto"/>
          <w:sz w:val="28"/>
          <w:szCs w:val="28"/>
          <w:highlight w:val="none"/>
        </w:rPr>
        <w:t>（四）磋商小组依据磋商文件认定的其他原则。</w:t>
      </w:r>
      <w:bookmarkEnd w:id="661"/>
      <w:bookmarkEnd w:id="662"/>
      <w:bookmarkEnd w:id="663"/>
    </w:p>
    <w:p w14:paraId="458B83A8">
      <w:pPr>
        <w:adjustRightInd w:val="0"/>
        <w:snapToGrid w:val="0"/>
        <w:spacing w:line="44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第七条</w:t>
      </w:r>
      <w:r>
        <w:rPr>
          <w:rFonts w:hint="eastAsia" w:ascii="仿宋" w:hAnsi="仿宋" w:eastAsia="仿宋" w:cs="仿宋"/>
          <w:color w:val="auto"/>
          <w:sz w:val="28"/>
          <w:szCs w:val="28"/>
          <w:highlight w:val="none"/>
        </w:rPr>
        <w:t xml:space="preserve"> 评审中，</w:t>
      </w:r>
      <w:r>
        <w:rPr>
          <w:rFonts w:hint="eastAsia" w:ascii="仿宋" w:hAnsi="仿宋" w:eastAsia="仿宋" w:cs="仿宋"/>
          <w:snapToGrid w:val="0"/>
          <w:color w:val="auto"/>
          <w:kern w:val="0"/>
          <w:sz w:val="28"/>
          <w:szCs w:val="28"/>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 w:hAnsi="仿宋" w:eastAsia="仿宋" w:cs="仿宋"/>
          <w:color w:val="auto"/>
          <w:sz w:val="28"/>
          <w:szCs w:val="28"/>
          <w:highlight w:val="none"/>
        </w:rPr>
        <w:t>。对于询标后判定为不符合磋商文件要求的磋商响应文件，磋商小组要提出充足的否定理由。最终对供应商的评审结论分为通过和未通过。</w:t>
      </w:r>
    </w:p>
    <w:p w14:paraId="74F9EC68">
      <w:pPr>
        <w:pStyle w:val="2"/>
        <w:spacing w:line="440" w:lineRule="exact"/>
        <w:ind w:firstLine="560" w:firstLineChars="200"/>
        <w:rPr>
          <w:rFonts w:hint="default" w:ascii="仿宋" w:hAnsi="仿宋" w:eastAsia="仿宋" w:cs="仿宋"/>
          <w:b w:val="0"/>
          <w:color w:val="auto"/>
          <w:sz w:val="28"/>
          <w:szCs w:val="28"/>
          <w:highlight w:val="none"/>
        </w:rPr>
      </w:pPr>
      <w:bookmarkStart w:id="664" w:name="_Toc144969084"/>
      <w:bookmarkStart w:id="665" w:name="_Toc143443764"/>
      <w:bookmarkStart w:id="666" w:name="_Toc144907741"/>
      <w:r>
        <w:rPr>
          <w:rFonts w:ascii="仿宋" w:hAnsi="仿宋" w:eastAsia="仿宋" w:cs="仿宋"/>
          <w:b w:val="0"/>
          <w:bCs/>
          <w:color w:val="auto"/>
          <w:sz w:val="28"/>
          <w:szCs w:val="28"/>
          <w:highlight w:val="none"/>
        </w:rPr>
        <w:t>第八条</w:t>
      </w:r>
      <w:r>
        <w:rPr>
          <w:rFonts w:ascii="仿宋" w:hAnsi="仿宋" w:eastAsia="仿宋" w:cs="仿宋"/>
          <w:b w:val="0"/>
          <w:color w:val="auto"/>
          <w:sz w:val="28"/>
          <w:szCs w:val="28"/>
          <w:highlight w:val="none"/>
        </w:rPr>
        <w:t xml:space="preserve"> </w:t>
      </w:r>
      <w:bookmarkEnd w:id="664"/>
      <w:bookmarkEnd w:id="665"/>
      <w:bookmarkEnd w:id="666"/>
      <w:bookmarkStart w:id="667" w:name="_Toc144907742"/>
      <w:bookmarkStart w:id="668" w:name="_Toc143443765"/>
      <w:bookmarkStart w:id="669" w:name="_Toc144969085"/>
      <w:r>
        <w:rPr>
          <w:rFonts w:ascii="仿宋" w:hAnsi="仿宋" w:eastAsia="仿宋" w:cs="仿宋"/>
          <w:b w:val="0"/>
          <w:bCs/>
          <w:color w:val="auto"/>
          <w:sz w:val="28"/>
          <w:szCs w:val="28"/>
          <w:highlight w:val="none"/>
        </w:rPr>
        <w:t>本项目</w:t>
      </w:r>
      <w:r>
        <w:rPr>
          <w:rFonts w:hint="eastAsia" w:ascii="仿宋" w:hAnsi="仿宋" w:eastAsia="仿宋" w:cs="仿宋"/>
          <w:b w:val="0"/>
          <w:bCs/>
          <w:color w:val="auto"/>
          <w:sz w:val="28"/>
          <w:szCs w:val="28"/>
          <w:highlight w:val="none"/>
          <w:lang w:val="en-US" w:eastAsia="zh-CN"/>
        </w:rPr>
        <w:t>开标</w:t>
      </w:r>
      <w:r>
        <w:rPr>
          <w:rFonts w:ascii="仿宋" w:hAnsi="仿宋" w:eastAsia="仿宋" w:cs="仿宋"/>
          <w:b w:val="0"/>
          <w:bCs/>
          <w:color w:val="auto"/>
          <w:sz w:val="28"/>
          <w:szCs w:val="28"/>
          <w:highlight w:val="none"/>
        </w:rPr>
        <w:t>现场递交磋商响应文件，现场递交二次或多轮报价。初步评审通过的供应商在（规定时间30分钟）进行二次或多轮报价，如未二轮报价或多轮报价，则以首轮报价为准，无特殊情况二次报价视为最终报价。如因供应商原因未及时报价，供应商自行承担一切后果。</w:t>
      </w:r>
      <w:r>
        <w:rPr>
          <w:rFonts w:ascii="仿宋" w:hAnsi="仿宋" w:eastAsia="仿宋" w:cs="仿宋"/>
          <w:b w:val="0"/>
          <w:color w:val="auto"/>
          <w:sz w:val="28"/>
          <w:szCs w:val="28"/>
          <w:highlight w:val="none"/>
        </w:rPr>
        <w:t>磋商小组认为投标供应商的投标报价明显低于其他通过符合性审查投标供应商的投标报价，有可能影响产品质量或者不能诚信履约的，应当要求其在评标现场合理的时间内提供书面说明，必要时提交相关证明材料</w:t>
      </w:r>
      <w:r>
        <w:rPr>
          <w:rFonts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lang w:val="en-US" w:eastAsia="zh-CN"/>
        </w:rPr>
        <w:t>否则</w:t>
      </w:r>
      <w:r>
        <w:rPr>
          <w:rFonts w:ascii="仿宋" w:hAnsi="仿宋" w:eastAsia="仿宋" w:cs="仿宋"/>
          <w:b w:val="0"/>
          <w:color w:val="auto"/>
          <w:sz w:val="28"/>
          <w:szCs w:val="28"/>
          <w:highlight w:val="none"/>
        </w:rPr>
        <w:t>磋商小组应当将其作为无效投标处理。</w:t>
      </w:r>
    </w:p>
    <w:p w14:paraId="044A491C">
      <w:pPr>
        <w:pStyle w:val="2"/>
        <w:spacing w:line="440" w:lineRule="exact"/>
        <w:ind w:firstLine="560" w:firstLineChars="200"/>
        <w:rPr>
          <w:rFonts w:ascii="仿宋" w:hAnsi="仿宋" w:eastAsia="仿宋" w:cs="仿宋"/>
          <w:b w:val="0"/>
          <w:bCs/>
          <w:color w:val="auto"/>
          <w:sz w:val="28"/>
          <w:szCs w:val="28"/>
          <w:highlight w:val="none"/>
        </w:rPr>
      </w:pPr>
      <w:r>
        <w:rPr>
          <w:rFonts w:ascii="仿宋" w:hAnsi="仿宋" w:eastAsia="仿宋" w:cs="仿宋"/>
          <w:b w:val="0"/>
          <w:color w:val="auto"/>
          <w:sz w:val="28"/>
          <w:szCs w:val="28"/>
          <w:highlight w:val="none"/>
        </w:rPr>
        <w:t>第九条</w:t>
      </w:r>
      <w:r>
        <w:rPr>
          <w:rFonts w:ascii="仿宋" w:hAnsi="仿宋" w:eastAsia="仿宋" w:cs="仿宋"/>
          <w:b w:val="0"/>
          <w:bCs/>
          <w:color w:val="auto"/>
          <w:sz w:val="28"/>
          <w:szCs w:val="28"/>
          <w:highlight w:val="none"/>
        </w:rPr>
        <w:t xml:space="preserve"> 磋商小组按下表内容进行投标有效性评审</w:t>
      </w:r>
      <w:bookmarkEnd w:id="667"/>
      <w:bookmarkEnd w:id="668"/>
      <w:bookmarkEnd w:id="669"/>
      <w:r>
        <w:rPr>
          <w:rFonts w:ascii="仿宋" w:hAnsi="仿宋" w:eastAsia="仿宋" w:cs="仿宋"/>
          <w:b w:val="0"/>
          <w:bCs/>
          <w:color w:val="auto"/>
          <w:sz w:val="28"/>
          <w:szCs w:val="28"/>
          <w:highlight w:val="none"/>
        </w:rPr>
        <w:t>。</w:t>
      </w:r>
    </w:p>
    <w:p w14:paraId="5C1FCF51">
      <w:pPr>
        <w:rPr>
          <w:rFonts w:hint="default"/>
          <w:color w:val="auto"/>
          <w:highlight w:val="none"/>
        </w:rPr>
      </w:pPr>
    </w:p>
    <w:p w14:paraId="6707328C">
      <w:pPr>
        <w:pStyle w:val="2"/>
        <w:numPr>
          <w:ilvl w:val="0"/>
          <w:numId w:val="2"/>
        </w:numPr>
        <w:spacing w:line="440" w:lineRule="exact"/>
        <w:rPr>
          <w:rFonts w:hint="default" w:hAnsi="黑体" w:cs="仿宋"/>
          <w:b w:val="0"/>
          <w:color w:val="auto"/>
          <w:sz w:val="28"/>
          <w:szCs w:val="28"/>
          <w:highlight w:val="none"/>
        </w:rPr>
      </w:pPr>
      <w:r>
        <w:rPr>
          <w:rFonts w:hAnsi="黑体" w:cs="仿宋"/>
          <w:b w:val="0"/>
          <w:color w:val="auto"/>
          <w:sz w:val="28"/>
          <w:szCs w:val="28"/>
          <w:highlight w:val="none"/>
        </w:rPr>
        <w:t>初步评审（资格、符合性评审）</w:t>
      </w:r>
    </w:p>
    <w:tbl>
      <w:tblPr>
        <w:tblStyle w:val="28"/>
        <w:tblW w:w="9679" w:type="dxa"/>
        <w:jc w:val="center"/>
        <w:tblLayout w:type="fixed"/>
        <w:tblCellMar>
          <w:top w:w="0" w:type="dxa"/>
          <w:left w:w="0" w:type="dxa"/>
          <w:bottom w:w="0" w:type="dxa"/>
          <w:right w:w="0" w:type="dxa"/>
        </w:tblCellMar>
      </w:tblPr>
      <w:tblGrid>
        <w:gridCol w:w="642"/>
        <w:gridCol w:w="2918"/>
        <w:gridCol w:w="4418"/>
        <w:gridCol w:w="1701"/>
      </w:tblGrid>
      <w:tr w14:paraId="3E20455E">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6627359E">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0" w:name="_Toc144907743"/>
            <w:bookmarkStart w:id="671" w:name="_Toc144969086"/>
            <w:bookmarkStart w:id="672" w:name="_Toc143443766"/>
            <w:r>
              <w:rPr>
                <w:rFonts w:ascii="仿宋" w:hAnsi="仿宋" w:eastAsia="仿宋" w:cs="仿宋"/>
                <w:b w:val="0"/>
                <w:color w:val="auto"/>
                <w:sz w:val="28"/>
                <w:szCs w:val="28"/>
                <w:highlight w:val="none"/>
              </w:rPr>
              <w:t>序号</w:t>
            </w:r>
            <w:bookmarkEnd w:id="670"/>
            <w:bookmarkEnd w:id="671"/>
            <w:bookmarkEnd w:id="672"/>
          </w:p>
        </w:tc>
        <w:tc>
          <w:tcPr>
            <w:tcW w:w="2918" w:type="dxa"/>
            <w:tcBorders>
              <w:top w:val="single" w:color="000000" w:sz="4" w:space="0"/>
              <w:left w:val="single" w:color="000000" w:sz="4" w:space="0"/>
              <w:bottom w:val="single" w:color="000000" w:sz="4" w:space="0"/>
              <w:right w:val="single" w:color="000000" w:sz="4" w:space="0"/>
            </w:tcBorders>
            <w:vAlign w:val="center"/>
          </w:tcPr>
          <w:p w14:paraId="77E141FD">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3" w:name="_Toc144907744"/>
            <w:bookmarkStart w:id="674" w:name="_Toc144969087"/>
            <w:bookmarkStart w:id="675" w:name="_Toc143443767"/>
            <w:r>
              <w:rPr>
                <w:rFonts w:ascii="仿宋" w:hAnsi="仿宋" w:eastAsia="仿宋" w:cs="仿宋"/>
                <w:b w:val="0"/>
                <w:color w:val="auto"/>
                <w:sz w:val="28"/>
                <w:szCs w:val="28"/>
                <w:highlight w:val="none"/>
              </w:rPr>
              <w:t>指标名称</w:t>
            </w:r>
            <w:bookmarkEnd w:id="673"/>
            <w:bookmarkEnd w:id="674"/>
            <w:bookmarkEnd w:id="675"/>
          </w:p>
        </w:tc>
        <w:tc>
          <w:tcPr>
            <w:tcW w:w="4418" w:type="dxa"/>
            <w:tcBorders>
              <w:top w:val="single" w:color="000000" w:sz="4" w:space="0"/>
              <w:left w:val="single" w:color="000000" w:sz="4" w:space="0"/>
              <w:bottom w:val="single" w:color="000000" w:sz="4" w:space="0"/>
              <w:right w:val="single" w:color="000000" w:sz="4" w:space="0"/>
            </w:tcBorders>
            <w:vAlign w:val="center"/>
          </w:tcPr>
          <w:p w14:paraId="5F641244">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6" w:name="_Toc143443768"/>
            <w:bookmarkStart w:id="677" w:name="_Toc144907745"/>
            <w:bookmarkStart w:id="678" w:name="_Toc144969088"/>
            <w:r>
              <w:rPr>
                <w:rFonts w:ascii="仿宋" w:hAnsi="仿宋" w:eastAsia="仿宋" w:cs="仿宋"/>
                <w:b w:val="0"/>
                <w:color w:val="auto"/>
                <w:sz w:val="28"/>
                <w:szCs w:val="28"/>
                <w:highlight w:val="none"/>
              </w:rPr>
              <w:t>指标要求</w:t>
            </w:r>
            <w:bookmarkEnd w:id="676"/>
            <w:bookmarkEnd w:id="677"/>
            <w:bookmarkEnd w:id="678"/>
          </w:p>
        </w:tc>
        <w:tc>
          <w:tcPr>
            <w:tcW w:w="1701" w:type="dxa"/>
            <w:tcBorders>
              <w:top w:val="single" w:color="000000" w:sz="4" w:space="0"/>
              <w:left w:val="single" w:color="000000" w:sz="4" w:space="0"/>
              <w:bottom w:val="single" w:color="000000" w:sz="4" w:space="0"/>
              <w:right w:val="single" w:color="000000" w:sz="4" w:space="0"/>
            </w:tcBorders>
            <w:vAlign w:val="center"/>
          </w:tcPr>
          <w:p w14:paraId="2A217C7A">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9" w:name="_Toc144969089"/>
            <w:bookmarkStart w:id="680" w:name="_Toc144907746"/>
            <w:bookmarkStart w:id="681" w:name="_Toc143443769"/>
            <w:r>
              <w:rPr>
                <w:rFonts w:ascii="仿宋" w:hAnsi="仿宋" w:eastAsia="仿宋" w:cs="仿宋"/>
                <w:b w:val="0"/>
                <w:color w:val="auto"/>
                <w:sz w:val="28"/>
                <w:szCs w:val="28"/>
                <w:highlight w:val="none"/>
              </w:rPr>
              <w:t>是否通过</w:t>
            </w:r>
            <w:bookmarkEnd w:id="679"/>
            <w:bookmarkEnd w:id="680"/>
            <w:bookmarkEnd w:id="681"/>
          </w:p>
        </w:tc>
      </w:tr>
      <w:tr w14:paraId="37AB36D1">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C784631">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82" w:name="_Toc144907747"/>
            <w:bookmarkStart w:id="683" w:name="_Toc143443770"/>
            <w:bookmarkStart w:id="684" w:name="_Toc144969090"/>
            <w:r>
              <w:rPr>
                <w:rFonts w:ascii="仿宋" w:hAnsi="仿宋" w:eastAsia="仿宋" w:cs="仿宋"/>
                <w:b w:val="0"/>
                <w:color w:val="auto"/>
                <w:sz w:val="28"/>
                <w:szCs w:val="28"/>
                <w:highlight w:val="none"/>
              </w:rPr>
              <w:t>1</w:t>
            </w:r>
            <w:bookmarkEnd w:id="682"/>
            <w:bookmarkEnd w:id="683"/>
            <w:bookmarkEnd w:id="684"/>
          </w:p>
        </w:tc>
        <w:tc>
          <w:tcPr>
            <w:tcW w:w="2918" w:type="dxa"/>
            <w:tcBorders>
              <w:top w:val="single" w:color="000000" w:sz="4" w:space="0"/>
              <w:left w:val="single" w:color="000000" w:sz="4" w:space="0"/>
              <w:bottom w:val="single" w:color="000000" w:sz="4" w:space="0"/>
              <w:right w:val="single" w:color="000000" w:sz="4" w:space="0"/>
            </w:tcBorders>
            <w:vAlign w:val="center"/>
          </w:tcPr>
          <w:p w14:paraId="665A0C88">
            <w:pPr>
              <w:pStyle w:val="2"/>
              <w:spacing w:line="440" w:lineRule="exact"/>
              <w:ind w:left="6" w:right="-109" w:rightChars="-52" w:hanging="6"/>
              <w:rPr>
                <w:rFonts w:hint="default" w:ascii="仿宋" w:hAnsi="仿宋" w:eastAsia="仿宋" w:cs="仿宋"/>
                <w:b w:val="0"/>
                <w:color w:val="auto"/>
                <w:sz w:val="28"/>
                <w:szCs w:val="28"/>
                <w:highlight w:val="none"/>
              </w:rPr>
            </w:pPr>
            <w:bookmarkStart w:id="685" w:name="_Toc143443771"/>
            <w:bookmarkStart w:id="686" w:name="_Toc144907748"/>
            <w:bookmarkStart w:id="687" w:name="_Toc144969091"/>
            <w:r>
              <w:rPr>
                <w:rFonts w:ascii="仿宋" w:hAnsi="仿宋" w:eastAsia="仿宋" w:cs="仿宋"/>
                <w:b w:val="0"/>
                <w:color w:val="auto"/>
                <w:sz w:val="28"/>
                <w:szCs w:val="28"/>
                <w:highlight w:val="none"/>
              </w:rPr>
              <w:t>磋商响应文件签字盖章</w:t>
            </w:r>
            <w:bookmarkEnd w:id="685"/>
            <w:bookmarkEnd w:id="686"/>
            <w:bookmarkEnd w:id="687"/>
          </w:p>
        </w:tc>
        <w:tc>
          <w:tcPr>
            <w:tcW w:w="4418" w:type="dxa"/>
            <w:tcBorders>
              <w:top w:val="single" w:color="000000" w:sz="4" w:space="0"/>
              <w:left w:val="single" w:color="000000" w:sz="4" w:space="0"/>
              <w:bottom w:val="single" w:color="000000" w:sz="4" w:space="0"/>
              <w:right w:val="single" w:color="000000" w:sz="4" w:space="0"/>
            </w:tcBorders>
            <w:vAlign w:val="center"/>
          </w:tcPr>
          <w:p w14:paraId="5FA8D5D8">
            <w:pPr>
              <w:pStyle w:val="2"/>
              <w:spacing w:line="440" w:lineRule="exact"/>
              <w:ind w:left="6" w:right="-109" w:rightChars="-52" w:hanging="6"/>
              <w:rPr>
                <w:rFonts w:hint="default" w:ascii="仿宋" w:hAnsi="仿宋" w:eastAsia="仿宋" w:cs="仿宋"/>
                <w:b w:val="0"/>
                <w:color w:val="auto"/>
                <w:sz w:val="28"/>
                <w:szCs w:val="28"/>
                <w:highlight w:val="none"/>
              </w:rPr>
            </w:pPr>
            <w:bookmarkStart w:id="688" w:name="_Toc144969092"/>
            <w:bookmarkStart w:id="689" w:name="_Toc144907749"/>
            <w:bookmarkStart w:id="690" w:name="_Toc143443772"/>
            <w:r>
              <w:rPr>
                <w:rFonts w:ascii="仿宋" w:hAnsi="仿宋" w:eastAsia="仿宋" w:cs="仿宋"/>
                <w:b w:val="0"/>
                <w:color w:val="auto"/>
                <w:sz w:val="28"/>
                <w:szCs w:val="28"/>
                <w:highlight w:val="none"/>
              </w:rPr>
              <w:t>符合磋商文件签字或盖章要求</w:t>
            </w:r>
            <w:bookmarkEnd w:id="688"/>
            <w:bookmarkEnd w:id="689"/>
            <w:bookmarkEnd w:id="690"/>
          </w:p>
        </w:tc>
        <w:tc>
          <w:tcPr>
            <w:tcW w:w="1701" w:type="dxa"/>
            <w:tcBorders>
              <w:top w:val="single" w:color="000000" w:sz="4" w:space="0"/>
              <w:left w:val="single" w:color="000000" w:sz="4" w:space="0"/>
              <w:bottom w:val="single" w:color="000000" w:sz="4" w:space="0"/>
              <w:right w:val="single" w:color="000000" w:sz="4" w:space="0"/>
            </w:tcBorders>
            <w:vAlign w:val="center"/>
          </w:tcPr>
          <w:p w14:paraId="19EEBAE9">
            <w:pPr>
              <w:pStyle w:val="2"/>
              <w:spacing w:line="440" w:lineRule="exact"/>
              <w:ind w:left="6" w:right="31" w:rightChars="15" w:hanging="6"/>
              <w:jc w:val="center"/>
              <w:rPr>
                <w:rFonts w:hint="default" w:ascii="仿宋" w:hAnsi="仿宋" w:eastAsia="仿宋" w:cs="仿宋"/>
                <w:b w:val="0"/>
                <w:color w:val="auto"/>
                <w:sz w:val="28"/>
                <w:szCs w:val="28"/>
                <w:highlight w:val="none"/>
              </w:rPr>
            </w:pPr>
          </w:p>
        </w:tc>
      </w:tr>
      <w:tr w14:paraId="14392829">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6DE1289E">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91" w:name="_Toc143443773"/>
            <w:bookmarkStart w:id="692" w:name="_Toc144907750"/>
            <w:bookmarkStart w:id="693" w:name="_Toc144969093"/>
            <w:r>
              <w:rPr>
                <w:rFonts w:ascii="仿宋" w:hAnsi="仿宋" w:eastAsia="仿宋" w:cs="仿宋"/>
                <w:b w:val="0"/>
                <w:color w:val="auto"/>
                <w:sz w:val="28"/>
                <w:szCs w:val="28"/>
                <w:highlight w:val="none"/>
              </w:rPr>
              <w:t>2</w:t>
            </w:r>
            <w:bookmarkEnd w:id="691"/>
            <w:bookmarkEnd w:id="692"/>
            <w:bookmarkEnd w:id="693"/>
          </w:p>
        </w:tc>
        <w:tc>
          <w:tcPr>
            <w:tcW w:w="2918" w:type="dxa"/>
            <w:tcBorders>
              <w:top w:val="single" w:color="000000" w:sz="4" w:space="0"/>
              <w:left w:val="single" w:color="000000" w:sz="4" w:space="0"/>
              <w:bottom w:val="single" w:color="000000" w:sz="4" w:space="0"/>
              <w:right w:val="single" w:color="000000" w:sz="4" w:space="0"/>
            </w:tcBorders>
            <w:vAlign w:val="center"/>
          </w:tcPr>
          <w:p w14:paraId="21ED9B57">
            <w:pPr>
              <w:pStyle w:val="2"/>
              <w:spacing w:line="440" w:lineRule="exact"/>
              <w:ind w:left="6" w:right="-109" w:rightChars="-52" w:hanging="6"/>
              <w:rPr>
                <w:rFonts w:hint="default" w:ascii="仿宋" w:hAnsi="仿宋" w:eastAsia="仿宋" w:cs="仿宋"/>
                <w:b w:val="0"/>
                <w:color w:val="auto"/>
                <w:sz w:val="28"/>
                <w:szCs w:val="28"/>
                <w:highlight w:val="none"/>
              </w:rPr>
            </w:pPr>
            <w:bookmarkStart w:id="694" w:name="_Toc143443774"/>
            <w:bookmarkStart w:id="695" w:name="_Toc144969094"/>
            <w:bookmarkStart w:id="696" w:name="_Toc144907751"/>
            <w:r>
              <w:rPr>
                <w:rFonts w:ascii="仿宋" w:hAnsi="仿宋" w:eastAsia="仿宋" w:cs="仿宋"/>
                <w:b w:val="0"/>
                <w:color w:val="auto"/>
                <w:sz w:val="28"/>
                <w:szCs w:val="28"/>
                <w:highlight w:val="none"/>
              </w:rPr>
              <w:t>投标报价</w:t>
            </w:r>
            <w:bookmarkEnd w:id="694"/>
            <w:bookmarkEnd w:id="695"/>
            <w:bookmarkEnd w:id="696"/>
          </w:p>
        </w:tc>
        <w:tc>
          <w:tcPr>
            <w:tcW w:w="4418" w:type="dxa"/>
            <w:tcBorders>
              <w:top w:val="single" w:color="000000" w:sz="4" w:space="0"/>
              <w:left w:val="single" w:color="000000" w:sz="4" w:space="0"/>
              <w:bottom w:val="single" w:color="000000" w:sz="4" w:space="0"/>
              <w:right w:val="single" w:color="000000" w:sz="4" w:space="0"/>
            </w:tcBorders>
            <w:vAlign w:val="center"/>
          </w:tcPr>
          <w:p w14:paraId="05EFD450">
            <w:pPr>
              <w:pStyle w:val="2"/>
              <w:spacing w:line="440" w:lineRule="exact"/>
              <w:ind w:right="-109" w:rightChars="-52"/>
              <w:rPr>
                <w:rFonts w:hint="default" w:ascii="仿宋" w:hAnsi="仿宋" w:eastAsia="仿宋" w:cs="仿宋"/>
                <w:b w:val="0"/>
                <w:color w:val="auto"/>
                <w:sz w:val="28"/>
                <w:szCs w:val="28"/>
                <w:highlight w:val="none"/>
              </w:rPr>
            </w:pPr>
            <w:bookmarkStart w:id="697" w:name="_Toc144907752"/>
            <w:bookmarkStart w:id="698" w:name="_Toc144969095"/>
            <w:bookmarkStart w:id="699" w:name="_Toc143443775"/>
            <w:r>
              <w:rPr>
                <w:rFonts w:ascii="仿宋" w:hAnsi="仿宋" w:eastAsia="仿宋" w:cs="仿宋"/>
                <w:b w:val="0"/>
                <w:color w:val="auto"/>
                <w:sz w:val="28"/>
                <w:szCs w:val="28"/>
                <w:highlight w:val="none"/>
              </w:rPr>
              <w:t>不得超出预算价</w:t>
            </w:r>
            <w:bookmarkEnd w:id="697"/>
            <w:bookmarkEnd w:id="698"/>
            <w:bookmarkEnd w:id="699"/>
          </w:p>
        </w:tc>
        <w:tc>
          <w:tcPr>
            <w:tcW w:w="1701" w:type="dxa"/>
            <w:tcBorders>
              <w:top w:val="single" w:color="000000" w:sz="4" w:space="0"/>
              <w:left w:val="single" w:color="000000" w:sz="4" w:space="0"/>
              <w:bottom w:val="single" w:color="000000" w:sz="4" w:space="0"/>
              <w:right w:val="single" w:color="000000" w:sz="4" w:space="0"/>
            </w:tcBorders>
            <w:vAlign w:val="center"/>
          </w:tcPr>
          <w:p w14:paraId="39DFE2BC">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6490C725">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22887CCC">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00" w:name="_Toc144969096"/>
            <w:bookmarkStart w:id="701" w:name="_Toc144907753"/>
            <w:bookmarkStart w:id="702" w:name="_Toc143443776"/>
            <w:r>
              <w:rPr>
                <w:rFonts w:ascii="仿宋" w:hAnsi="仿宋" w:eastAsia="仿宋" w:cs="仿宋"/>
                <w:b w:val="0"/>
                <w:color w:val="auto"/>
                <w:sz w:val="28"/>
                <w:szCs w:val="28"/>
                <w:highlight w:val="none"/>
              </w:rPr>
              <w:t>3</w:t>
            </w:r>
            <w:bookmarkEnd w:id="700"/>
            <w:bookmarkEnd w:id="701"/>
            <w:bookmarkEnd w:id="702"/>
          </w:p>
        </w:tc>
        <w:tc>
          <w:tcPr>
            <w:tcW w:w="2918" w:type="dxa"/>
            <w:tcBorders>
              <w:top w:val="single" w:color="000000" w:sz="4" w:space="0"/>
              <w:left w:val="single" w:color="000000" w:sz="4" w:space="0"/>
              <w:bottom w:val="single" w:color="000000" w:sz="4" w:space="0"/>
              <w:right w:val="single" w:color="000000" w:sz="4" w:space="0"/>
            </w:tcBorders>
            <w:vAlign w:val="center"/>
          </w:tcPr>
          <w:p w14:paraId="034C4F51">
            <w:pPr>
              <w:pStyle w:val="2"/>
              <w:spacing w:line="440" w:lineRule="exact"/>
              <w:ind w:left="6" w:right="-109" w:rightChars="-52" w:hanging="6"/>
              <w:rPr>
                <w:rFonts w:hint="default" w:ascii="仿宋" w:hAnsi="仿宋" w:eastAsia="仿宋" w:cs="仿宋"/>
                <w:b w:val="0"/>
                <w:color w:val="auto"/>
                <w:sz w:val="28"/>
                <w:szCs w:val="28"/>
                <w:highlight w:val="none"/>
              </w:rPr>
            </w:pPr>
            <w:bookmarkStart w:id="703" w:name="_Toc144969097"/>
            <w:bookmarkStart w:id="704" w:name="_Toc144907754"/>
            <w:bookmarkStart w:id="705" w:name="_Toc143443777"/>
            <w:r>
              <w:rPr>
                <w:rFonts w:ascii="仿宋" w:hAnsi="仿宋" w:eastAsia="仿宋" w:cs="仿宋"/>
                <w:b w:val="0"/>
                <w:color w:val="auto"/>
                <w:sz w:val="28"/>
                <w:szCs w:val="28"/>
                <w:highlight w:val="none"/>
              </w:rPr>
              <w:t>供应商资格</w:t>
            </w:r>
            <w:bookmarkEnd w:id="703"/>
            <w:bookmarkEnd w:id="704"/>
            <w:bookmarkEnd w:id="705"/>
          </w:p>
        </w:tc>
        <w:tc>
          <w:tcPr>
            <w:tcW w:w="4418" w:type="dxa"/>
            <w:tcBorders>
              <w:top w:val="single" w:color="000000" w:sz="4" w:space="0"/>
              <w:left w:val="single" w:color="000000" w:sz="4" w:space="0"/>
              <w:bottom w:val="single" w:color="000000" w:sz="4" w:space="0"/>
              <w:right w:val="single" w:color="000000" w:sz="4" w:space="0"/>
            </w:tcBorders>
            <w:vAlign w:val="center"/>
          </w:tcPr>
          <w:p w14:paraId="6E748E03">
            <w:pPr>
              <w:pStyle w:val="2"/>
              <w:spacing w:line="440" w:lineRule="exact"/>
              <w:ind w:left="6" w:right="-109" w:rightChars="-52" w:hanging="6"/>
              <w:rPr>
                <w:rFonts w:hint="default" w:ascii="仿宋" w:hAnsi="仿宋" w:eastAsia="仿宋" w:cs="仿宋"/>
                <w:b w:val="0"/>
                <w:color w:val="auto"/>
                <w:sz w:val="28"/>
                <w:szCs w:val="28"/>
                <w:highlight w:val="none"/>
              </w:rPr>
            </w:pPr>
            <w:bookmarkStart w:id="706" w:name="_Toc144969098"/>
            <w:bookmarkStart w:id="707" w:name="_Toc143443778"/>
            <w:bookmarkStart w:id="708" w:name="_Toc144907755"/>
            <w:r>
              <w:rPr>
                <w:rFonts w:ascii="仿宋" w:hAnsi="仿宋" w:eastAsia="仿宋" w:cs="仿宋"/>
                <w:b w:val="0"/>
                <w:color w:val="auto"/>
                <w:sz w:val="28"/>
                <w:szCs w:val="28"/>
                <w:highlight w:val="none"/>
              </w:rPr>
              <w:t>符合磋商公告要求</w:t>
            </w:r>
            <w:bookmarkEnd w:id="706"/>
            <w:bookmarkEnd w:id="707"/>
            <w:bookmarkEnd w:id="708"/>
          </w:p>
        </w:tc>
        <w:tc>
          <w:tcPr>
            <w:tcW w:w="1701" w:type="dxa"/>
            <w:tcBorders>
              <w:top w:val="single" w:color="000000" w:sz="4" w:space="0"/>
              <w:left w:val="single" w:color="000000" w:sz="4" w:space="0"/>
              <w:bottom w:val="single" w:color="000000" w:sz="4" w:space="0"/>
              <w:right w:val="single" w:color="000000" w:sz="4" w:space="0"/>
            </w:tcBorders>
            <w:vAlign w:val="center"/>
          </w:tcPr>
          <w:p w14:paraId="08A38489">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4403C2BB">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3BB52355">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09" w:name="_Toc144907756"/>
            <w:bookmarkStart w:id="710" w:name="_Toc144969099"/>
            <w:bookmarkStart w:id="711" w:name="_Toc143443779"/>
            <w:r>
              <w:rPr>
                <w:rFonts w:ascii="仿宋" w:hAnsi="仿宋" w:eastAsia="仿宋" w:cs="仿宋"/>
                <w:b w:val="0"/>
                <w:color w:val="auto"/>
                <w:sz w:val="28"/>
                <w:szCs w:val="28"/>
                <w:highlight w:val="none"/>
              </w:rPr>
              <w:t>4</w:t>
            </w:r>
            <w:bookmarkEnd w:id="709"/>
            <w:bookmarkEnd w:id="710"/>
            <w:bookmarkEnd w:id="711"/>
          </w:p>
        </w:tc>
        <w:tc>
          <w:tcPr>
            <w:tcW w:w="2918" w:type="dxa"/>
            <w:tcBorders>
              <w:top w:val="single" w:color="000000" w:sz="4" w:space="0"/>
              <w:left w:val="single" w:color="000000" w:sz="4" w:space="0"/>
              <w:bottom w:val="single" w:color="000000" w:sz="4" w:space="0"/>
              <w:right w:val="single" w:color="000000" w:sz="4" w:space="0"/>
            </w:tcBorders>
            <w:vAlign w:val="center"/>
          </w:tcPr>
          <w:p w14:paraId="170ACACC">
            <w:pPr>
              <w:pStyle w:val="2"/>
              <w:spacing w:line="440" w:lineRule="exact"/>
              <w:ind w:left="6" w:right="-109" w:rightChars="-52" w:hanging="6"/>
              <w:rPr>
                <w:rFonts w:hint="default" w:ascii="仿宋" w:hAnsi="仿宋" w:eastAsia="仿宋" w:cs="仿宋"/>
                <w:b w:val="0"/>
                <w:color w:val="auto"/>
                <w:sz w:val="28"/>
                <w:szCs w:val="28"/>
                <w:highlight w:val="none"/>
              </w:rPr>
            </w:pPr>
            <w:bookmarkStart w:id="712" w:name="_Toc143443780"/>
            <w:bookmarkStart w:id="713" w:name="_Toc144907757"/>
            <w:bookmarkStart w:id="714" w:name="_Toc144969100"/>
            <w:r>
              <w:rPr>
                <w:rFonts w:ascii="仿宋" w:hAnsi="仿宋" w:eastAsia="仿宋" w:cs="仿宋"/>
                <w:b w:val="0"/>
                <w:color w:val="auto"/>
                <w:sz w:val="28"/>
                <w:szCs w:val="28"/>
                <w:highlight w:val="none"/>
              </w:rPr>
              <w:t>磋商响应文件内容</w:t>
            </w:r>
            <w:bookmarkEnd w:id="712"/>
            <w:bookmarkEnd w:id="713"/>
            <w:bookmarkEnd w:id="714"/>
          </w:p>
        </w:tc>
        <w:tc>
          <w:tcPr>
            <w:tcW w:w="4418" w:type="dxa"/>
            <w:tcBorders>
              <w:top w:val="single" w:color="000000" w:sz="4" w:space="0"/>
              <w:left w:val="single" w:color="000000" w:sz="4" w:space="0"/>
              <w:bottom w:val="single" w:color="000000" w:sz="4" w:space="0"/>
              <w:right w:val="single" w:color="000000" w:sz="4" w:space="0"/>
            </w:tcBorders>
            <w:vAlign w:val="center"/>
          </w:tcPr>
          <w:p w14:paraId="27582D93">
            <w:pPr>
              <w:pStyle w:val="2"/>
              <w:spacing w:line="440" w:lineRule="exact"/>
              <w:ind w:left="6" w:right="-109" w:rightChars="-52" w:hanging="6"/>
              <w:rPr>
                <w:rFonts w:hint="default" w:ascii="仿宋" w:hAnsi="仿宋" w:eastAsia="仿宋" w:cs="仿宋"/>
                <w:b w:val="0"/>
                <w:color w:val="auto"/>
                <w:sz w:val="28"/>
                <w:szCs w:val="28"/>
                <w:highlight w:val="none"/>
              </w:rPr>
            </w:pPr>
            <w:bookmarkStart w:id="715" w:name="_Toc143443781"/>
            <w:bookmarkStart w:id="716" w:name="_Toc144969101"/>
            <w:bookmarkStart w:id="717" w:name="_Toc144907758"/>
            <w:r>
              <w:rPr>
                <w:rFonts w:ascii="仿宋" w:hAnsi="仿宋" w:eastAsia="仿宋" w:cs="仿宋"/>
                <w:b w:val="0"/>
                <w:color w:val="auto"/>
                <w:sz w:val="28"/>
                <w:szCs w:val="28"/>
                <w:highlight w:val="none"/>
              </w:rPr>
              <w:t>符合磋商响应文件格式要求</w:t>
            </w:r>
            <w:bookmarkEnd w:id="715"/>
            <w:bookmarkEnd w:id="716"/>
            <w:bookmarkEnd w:id="717"/>
          </w:p>
        </w:tc>
        <w:tc>
          <w:tcPr>
            <w:tcW w:w="1701" w:type="dxa"/>
            <w:tcBorders>
              <w:top w:val="single" w:color="000000" w:sz="4" w:space="0"/>
              <w:left w:val="single" w:color="000000" w:sz="4" w:space="0"/>
              <w:bottom w:val="single" w:color="000000" w:sz="4" w:space="0"/>
              <w:right w:val="single" w:color="000000" w:sz="4" w:space="0"/>
            </w:tcBorders>
            <w:vAlign w:val="center"/>
          </w:tcPr>
          <w:p w14:paraId="45D7C284">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3FADA9F7">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4E18F776">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18" w:name="_Toc144969102"/>
            <w:bookmarkStart w:id="719" w:name="_Toc143443782"/>
            <w:bookmarkStart w:id="720" w:name="_Toc144907759"/>
            <w:r>
              <w:rPr>
                <w:rFonts w:ascii="仿宋" w:hAnsi="仿宋" w:eastAsia="仿宋" w:cs="仿宋"/>
                <w:b w:val="0"/>
                <w:color w:val="auto"/>
                <w:sz w:val="28"/>
                <w:szCs w:val="28"/>
                <w:highlight w:val="none"/>
              </w:rPr>
              <w:t>5</w:t>
            </w:r>
            <w:bookmarkEnd w:id="718"/>
            <w:bookmarkEnd w:id="719"/>
            <w:bookmarkEnd w:id="720"/>
          </w:p>
        </w:tc>
        <w:tc>
          <w:tcPr>
            <w:tcW w:w="2918" w:type="dxa"/>
            <w:tcBorders>
              <w:top w:val="single" w:color="000000" w:sz="4" w:space="0"/>
              <w:left w:val="single" w:color="000000" w:sz="4" w:space="0"/>
              <w:bottom w:val="single" w:color="000000" w:sz="4" w:space="0"/>
              <w:right w:val="single" w:color="000000" w:sz="4" w:space="0"/>
            </w:tcBorders>
            <w:vAlign w:val="center"/>
          </w:tcPr>
          <w:p w14:paraId="116E97F7">
            <w:pPr>
              <w:pStyle w:val="2"/>
              <w:spacing w:line="440" w:lineRule="exact"/>
              <w:ind w:left="6" w:right="-109" w:rightChars="-52" w:hanging="6"/>
              <w:rPr>
                <w:rFonts w:hint="default" w:ascii="仿宋" w:hAnsi="仿宋" w:eastAsia="仿宋" w:cs="仿宋"/>
                <w:b w:val="0"/>
                <w:color w:val="auto"/>
                <w:sz w:val="28"/>
                <w:szCs w:val="28"/>
                <w:highlight w:val="none"/>
              </w:rPr>
            </w:pPr>
            <w:bookmarkStart w:id="721" w:name="_Toc144969103"/>
            <w:bookmarkStart w:id="722" w:name="_Toc143443783"/>
            <w:bookmarkStart w:id="723" w:name="_Toc144907760"/>
            <w:r>
              <w:rPr>
                <w:rFonts w:ascii="仿宋" w:hAnsi="仿宋" w:eastAsia="仿宋" w:cs="仿宋"/>
                <w:b w:val="0"/>
                <w:color w:val="auto"/>
                <w:sz w:val="28"/>
                <w:szCs w:val="28"/>
                <w:highlight w:val="none"/>
              </w:rPr>
              <w:t>合同履行期限</w:t>
            </w:r>
            <w:bookmarkEnd w:id="721"/>
            <w:bookmarkEnd w:id="722"/>
            <w:bookmarkEnd w:id="723"/>
          </w:p>
        </w:tc>
        <w:tc>
          <w:tcPr>
            <w:tcW w:w="4418" w:type="dxa"/>
            <w:tcBorders>
              <w:top w:val="single" w:color="000000" w:sz="4" w:space="0"/>
              <w:left w:val="single" w:color="000000" w:sz="4" w:space="0"/>
              <w:bottom w:val="single" w:color="000000" w:sz="4" w:space="0"/>
              <w:right w:val="single" w:color="000000" w:sz="4" w:space="0"/>
            </w:tcBorders>
            <w:vAlign w:val="center"/>
          </w:tcPr>
          <w:p w14:paraId="0627ABE0">
            <w:pPr>
              <w:pStyle w:val="2"/>
              <w:spacing w:line="440" w:lineRule="exact"/>
              <w:ind w:left="6" w:right="-109" w:rightChars="-52" w:hanging="6"/>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rPr>
              <w:t>符合磋商公告要求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1FEBF8AE">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46C63076">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8A4E977">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24" w:name="_Toc144969105"/>
            <w:bookmarkStart w:id="725" w:name="_Toc143443785"/>
            <w:bookmarkStart w:id="726" w:name="_Toc144907762"/>
            <w:r>
              <w:rPr>
                <w:rFonts w:ascii="仿宋" w:hAnsi="仿宋" w:eastAsia="仿宋" w:cs="仿宋"/>
                <w:b w:val="0"/>
                <w:color w:val="auto"/>
                <w:sz w:val="28"/>
                <w:szCs w:val="28"/>
                <w:highlight w:val="none"/>
              </w:rPr>
              <w:t>6</w:t>
            </w:r>
            <w:bookmarkEnd w:id="724"/>
            <w:bookmarkEnd w:id="725"/>
            <w:bookmarkEnd w:id="726"/>
          </w:p>
        </w:tc>
        <w:tc>
          <w:tcPr>
            <w:tcW w:w="2918" w:type="dxa"/>
            <w:tcBorders>
              <w:top w:val="single" w:color="000000" w:sz="4" w:space="0"/>
              <w:left w:val="single" w:color="000000" w:sz="4" w:space="0"/>
              <w:bottom w:val="single" w:color="000000" w:sz="4" w:space="0"/>
              <w:right w:val="single" w:color="000000" w:sz="4" w:space="0"/>
            </w:tcBorders>
            <w:vAlign w:val="center"/>
          </w:tcPr>
          <w:p w14:paraId="06F49D91">
            <w:pPr>
              <w:pStyle w:val="2"/>
              <w:spacing w:line="440" w:lineRule="exact"/>
              <w:ind w:left="6" w:right="-109" w:rightChars="-52" w:hanging="6"/>
              <w:rPr>
                <w:rFonts w:hint="default" w:ascii="仿宋" w:hAnsi="仿宋" w:eastAsia="仿宋" w:cs="仿宋"/>
                <w:b w:val="0"/>
                <w:color w:val="auto"/>
                <w:sz w:val="28"/>
                <w:szCs w:val="28"/>
                <w:highlight w:val="none"/>
              </w:rPr>
            </w:pPr>
            <w:bookmarkStart w:id="727" w:name="_Toc144907763"/>
            <w:bookmarkStart w:id="728" w:name="_Toc143443786"/>
            <w:bookmarkStart w:id="729" w:name="_Toc144969106"/>
            <w:r>
              <w:rPr>
                <w:rFonts w:ascii="仿宋" w:hAnsi="仿宋" w:eastAsia="仿宋" w:cs="仿宋"/>
                <w:b w:val="0"/>
                <w:color w:val="auto"/>
                <w:sz w:val="28"/>
                <w:szCs w:val="28"/>
                <w:highlight w:val="none"/>
              </w:rPr>
              <w:t>投标有效期</w:t>
            </w:r>
            <w:bookmarkEnd w:id="727"/>
            <w:bookmarkEnd w:id="728"/>
            <w:bookmarkEnd w:id="729"/>
          </w:p>
        </w:tc>
        <w:tc>
          <w:tcPr>
            <w:tcW w:w="4418" w:type="dxa"/>
            <w:tcBorders>
              <w:top w:val="single" w:color="000000" w:sz="4" w:space="0"/>
              <w:left w:val="single" w:color="000000" w:sz="4" w:space="0"/>
              <w:bottom w:val="single" w:color="000000" w:sz="4" w:space="0"/>
              <w:right w:val="single" w:color="000000" w:sz="4" w:space="0"/>
            </w:tcBorders>
            <w:vAlign w:val="center"/>
          </w:tcPr>
          <w:p w14:paraId="295D5C14">
            <w:pPr>
              <w:pStyle w:val="2"/>
              <w:spacing w:line="440" w:lineRule="exact"/>
              <w:ind w:left="6" w:right="-109" w:rightChars="-52" w:hanging="6"/>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rPr>
              <w:t>符合磋商</w:t>
            </w:r>
            <w:r>
              <w:rPr>
                <w:rFonts w:hint="eastAsia" w:ascii="仿宋" w:hAnsi="仿宋" w:eastAsia="仿宋" w:cs="仿宋"/>
                <w:b w:val="0"/>
                <w:color w:val="auto"/>
                <w:sz w:val="28"/>
                <w:szCs w:val="28"/>
                <w:highlight w:val="none"/>
                <w:lang w:val="en-US" w:eastAsia="zh-CN"/>
              </w:rPr>
              <w:t>文件</w:t>
            </w:r>
            <w:r>
              <w:rPr>
                <w:rFonts w:ascii="仿宋" w:hAnsi="仿宋" w:eastAsia="仿宋" w:cs="仿宋"/>
                <w:b w:val="0"/>
                <w:color w:val="auto"/>
                <w:sz w:val="28"/>
                <w:szCs w:val="28"/>
                <w:highlight w:val="none"/>
              </w:rPr>
              <w:t>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0F3B58E3">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bl>
    <w:p w14:paraId="275967CD">
      <w:pPr>
        <w:pStyle w:val="2"/>
        <w:spacing w:line="440" w:lineRule="exact"/>
        <w:ind w:left="6" w:right="-109" w:rightChars="-52" w:firstLine="560" w:firstLineChars="200"/>
        <w:rPr>
          <w:rFonts w:hAnsi="黑体" w:cs="仿宋"/>
          <w:b w:val="0"/>
          <w:color w:val="auto"/>
          <w:sz w:val="28"/>
          <w:szCs w:val="28"/>
          <w:highlight w:val="none"/>
        </w:rPr>
      </w:pPr>
      <w:bookmarkStart w:id="730" w:name="_Toc144907765"/>
      <w:bookmarkStart w:id="731" w:name="_Toc143443788"/>
      <w:bookmarkStart w:id="732" w:name="_Toc144969108"/>
    </w:p>
    <w:p w14:paraId="2A061484">
      <w:pPr>
        <w:pStyle w:val="2"/>
        <w:spacing w:line="440" w:lineRule="exact"/>
        <w:ind w:left="6" w:right="-109" w:rightChars="-52" w:firstLine="560" w:firstLineChars="200"/>
        <w:rPr>
          <w:rFonts w:hint="default" w:hAnsi="黑体" w:cs="仿宋"/>
          <w:b w:val="0"/>
          <w:color w:val="auto"/>
          <w:sz w:val="28"/>
          <w:szCs w:val="28"/>
          <w:highlight w:val="none"/>
        </w:rPr>
      </w:pPr>
      <w:r>
        <w:rPr>
          <w:rFonts w:hAnsi="黑体" w:cs="仿宋"/>
          <w:b w:val="0"/>
          <w:color w:val="auto"/>
          <w:sz w:val="28"/>
          <w:szCs w:val="28"/>
          <w:highlight w:val="none"/>
        </w:rPr>
        <w:t>2. 评分细则详细评审</w:t>
      </w:r>
      <w:bookmarkEnd w:id="730"/>
      <w:bookmarkEnd w:id="731"/>
      <w:bookmarkEnd w:id="732"/>
    </w:p>
    <w:p w14:paraId="7FE9AE0E">
      <w:pPr>
        <w:spacing w:line="440" w:lineRule="exact"/>
        <w:ind w:left="6" w:right="-109" w:rightChars="-52" w:firstLine="560" w:firstLineChars="200"/>
        <w:rPr>
          <w:rFonts w:ascii="仿宋" w:hAnsi="仿宋" w:eastAsia="仿宋" w:cs="仿宋"/>
          <w:bCs/>
          <w:color w:val="auto"/>
          <w:kern w:val="44"/>
          <w:sz w:val="28"/>
          <w:szCs w:val="28"/>
          <w:highlight w:val="none"/>
        </w:rPr>
      </w:pPr>
      <w:r>
        <w:rPr>
          <w:rFonts w:hint="eastAsia" w:ascii="仿宋" w:hAnsi="仿宋" w:eastAsia="仿宋" w:cs="仿宋"/>
          <w:bCs/>
          <w:color w:val="auto"/>
          <w:kern w:val="44"/>
          <w:sz w:val="28"/>
          <w:szCs w:val="28"/>
          <w:highlight w:val="none"/>
        </w:rPr>
        <w:t>经初步评审合格的磋商响应文件，磋商小组对其作进一步评审、比较，并量化打分，总分为100 分。</w:t>
      </w:r>
    </w:p>
    <w:p w14:paraId="309DDAD1">
      <w:pPr>
        <w:spacing w:line="440" w:lineRule="exact"/>
        <w:ind w:left="6" w:right="-109" w:rightChars="-52" w:hanging="6"/>
        <w:rPr>
          <w:rFonts w:hint="eastAsia" w:ascii="仿宋" w:hAnsi="仿宋" w:eastAsia="仿宋" w:cs="仿宋"/>
          <w:b/>
          <w:color w:val="auto"/>
          <w:kern w:val="44"/>
          <w:sz w:val="28"/>
          <w:szCs w:val="28"/>
          <w:highlight w:val="none"/>
        </w:rPr>
      </w:pPr>
    </w:p>
    <w:p w14:paraId="152DA04A">
      <w:pPr>
        <w:spacing w:line="440" w:lineRule="exact"/>
        <w:ind w:left="6" w:right="-109" w:rightChars="-52" w:hanging="6"/>
        <w:rPr>
          <w:rFonts w:ascii="仿宋" w:hAnsi="仿宋" w:eastAsia="仿宋" w:cs="仿宋"/>
          <w:bCs/>
          <w:color w:val="auto"/>
          <w:kern w:val="44"/>
          <w:sz w:val="28"/>
          <w:szCs w:val="28"/>
          <w:highlight w:val="none"/>
        </w:rPr>
      </w:pPr>
      <w:r>
        <w:rPr>
          <w:rFonts w:hint="eastAsia" w:ascii="仿宋" w:hAnsi="仿宋" w:eastAsia="仿宋" w:cs="仿宋"/>
          <w:b/>
          <w:color w:val="auto"/>
          <w:kern w:val="44"/>
          <w:sz w:val="28"/>
          <w:szCs w:val="28"/>
          <w:highlight w:val="none"/>
        </w:rPr>
        <w:t>商务标：</w:t>
      </w:r>
      <w:r>
        <w:rPr>
          <w:rFonts w:hint="eastAsia" w:ascii="仿宋" w:hAnsi="仿宋" w:eastAsia="仿宋" w:cs="仿宋"/>
          <w:b/>
          <w:color w:val="auto"/>
          <w:kern w:val="44"/>
          <w:sz w:val="28"/>
          <w:szCs w:val="28"/>
          <w:highlight w:val="none"/>
          <w:lang w:val="en-US" w:eastAsia="zh-CN"/>
        </w:rPr>
        <w:t>30</w:t>
      </w:r>
      <w:r>
        <w:rPr>
          <w:rFonts w:hint="eastAsia" w:ascii="仿宋" w:hAnsi="仿宋" w:eastAsia="仿宋" w:cs="仿宋"/>
          <w:b/>
          <w:color w:val="auto"/>
          <w:kern w:val="44"/>
          <w:sz w:val="28"/>
          <w:szCs w:val="28"/>
          <w:highlight w:val="none"/>
        </w:rPr>
        <w:t>分；</w:t>
      </w:r>
    </w:p>
    <w:tbl>
      <w:tblPr>
        <w:tblStyle w:val="28"/>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8103"/>
      </w:tblGrid>
      <w:tr w14:paraId="34E7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500" w:type="dxa"/>
            <w:shd w:val="clear" w:color="auto" w:fill="FFFFFF"/>
            <w:vAlign w:val="center"/>
          </w:tcPr>
          <w:p w14:paraId="64FE5D95">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评分项目</w:t>
            </w:r>
          </w:p>
        </w:tc>
        <w:tc>
          <w:tcPr>
            <w:tcW w:w="8103" w:type="dxa"/>
            <w:shd w:val="clear" w:color="auto" w:fill="FFFFFF"/>
            <w:vAlign w:val="center"/>
          </w:tcPr>
          <w:p w14:paraId="34CE2635">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评标内容及标准</w:t>
            </w:r>
          </w:p>
        </w:tc>
      </w:tr>
      <w:tr w14:paraId="3A5F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500" w:type="dxa"/>
            <w:vAlign w:val="center"/>
          </w:tcPr>
          <w:p w14:paraId="188DFE43">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投标报价</w:t>
            </w:r>
          </w:p>
          <w:p w14:paraId="7957A9A6">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w:t>
            </w:r>
            <w:r>
              <w:rPr>
                <w:rFonts w:hint="eastAsia" w:ascii="仿宋" w:hAnsi="仿宋" w:eastAsia="仿宋" w:cs="仿宋"/>
                <w:color w:val="auto"/>
                <w:sz w:val="28"/>
                <w:szCs w:val="28"/>
                <w:highlight w:val="none"/>
                <w:lang w:val="en-US" w:eastAsia="zh-CN"/>
              </w:rPr>
              <w:t>30</w:t>
            </w:r>
            <w:r>
              <w:rPr>
                <w:rFonts w:hint="eastAsia" w:ascii="仿宋" w:hAnsi="仿宋" w:eastAsia="仿宋" w:cs="仿宋"/>
                <w:bCs/>
                <w:color w:val="auto"/>
                <w:sz w:val="28"/>
                <w:szCs w:val="28"/>
                <w:highlight w:val="none"/>
                <w:lang w:val="zh-CN"/>
              </w:rPr>
              <w:t>分）</w:t>
            </w:r>
          </w:p>
        </w:tc>
        <w:tc>
          <w:tcPr>
            <w:tcW w:w="8103" w:type="dxa"/>
            <w:vAlign w:val="center"/>
          </w:tcPr>
          <w:p w14:paraId="23AC4B5B">
            <w:pPr>
              <w:autoSpaceDE w:val="0"/>
              <w:autoSpaceDN w:val="0"/>
              <w:adjustRightInd w:val="0"/>
              <w:snapToGrid w:val="0"/>
              <w:spacing w:line="400" w:lineRule="exact"/>
              <w:ind w:left="6" w:right="48" w:rightChars="23" w:hanging="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
              </w:rPr>
              <w:t>价格分应当采用低价优先法计算</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
              </w:rPr>
              <w:t>即满足磋商文件要求且投标价格最低的投标报价为评标基准价，其价格分为满分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
              </w:rPr>
              <w:t>。其他投标供应商的价格分统一按照下列公式计算：</w:t>
            </w:r>
            <w:r>
              <w:rPr>
                <w:rFonts w:hint="eastAsia" w:ascii="仿宋" w:hAnsi="仿宋" w:eastAsia="仿宋" w:cs="仿宋"/>
                <w:color w:val="auto"/>
                <w:sz w:val="28"/>
                <w:szCs w:val="28"/>
                <w:highlight w:val="none"/>
              </w:rPr>
              <w:t>投标报价得分＝（评标基准价/投标报价）×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％×100。</w:t>
            </w:r>
          </w:p>
        </w:tc>
      </w:tr>
    </w:tbl>
    <w:p w14:paraId="7073D8D2">
      <w:pPr>
        <w:pStyle w:val="3"/>
        <w:spacing w:before="0" w:after="0" w:line="440" w:lineRule="exact"/>
        <w:rPr>
          <w:rFonts w:hint="eastAsia" w:ascii="仿宋" w:hAnsi="仿宋" w:eastAsia="仿宋" w:cs="仿宋"/>
          <w:color w:val="auto"/>
          <w:sz w:val="28"/>
          <w:szCs w:val="28"/>
          <w:highlight w:val="none"/>
        </w:rPr>
      </w:pPr>
    </w:p>
    <w:p w14:paraId="5B17DCDD">
      <w:pPr>
        <w:rPr>
          <w:rFonts w:hint="eastAsia"/>
          <w:color w:val="auto"/>
          <w:highlight w:val="none"/>
        </w:rPr>
      </w:pPr>
    </w:p>
    <w:p w14:paraId="341086D4">
      <w:pPr>
        <w:rPr>
          <w:rFonts w:hint="eastAsia"/>
          <w:color w:val="auto"/>
          <w:highlight w:val="none"/>
        </w:rPr>
      </w:pPr>
    </w:p>
    <w:p w14:paraId="744FC105">
      <w:pPr>
        <w:rPr>
          <w:rFonts w:hint="eastAsia"/>
          <w:color w:val="auto"/>
          <w:highlight w:val="none"/>
        </w:rPr>
      </w:pPr>
    </w:p>
    <w:p w14:paraId="58DA492A">
      <w:pPr>
        <w:rPr>
          <w:rFonts w:hint="eastAsia"/>
          <w:color w:val="auto"/>
          <w:highlight w:val="none"/>
        </w:rPr>
      </w:pPr>
    </w:p>
    <w:p w14:paraId="365D870A">
      <w:pPr>
        <w:pStyle w:val="3"/>
        <w:spacing w:before="0" w:after="0" w:line="44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r>
        <w:rPr>
          <w:rFonts w:hint="eastAsia" w:ascii="仿宋" w:hAnsi="仿宋" w:eastAsia="仿宋" w:cs="仿宋"/>
          <w:color w:val="auto"/>
          <w:sz w:val="28"/>
          <w:szCs w:val="28"/>
          <w:highlight w:val="none"/>
          <w:lang w:val="en-US" w:eastAsia="zh-CN"/>
        </w:rPr>
        <w:t>70</w:t>
      </w:r>
      <w:r>
        <w:rPr>
          <w:rFonts w:hint="eastAsia" w:ascii="仿宋" w:hAnsi="仿宋" w:eastAsia="仿宋" w:cs="仿宋"/>
          <w:color w:val="auto"/>
          <w:sz w:val="28"/>
          <w:szCs w:val="28"/>
          <w:highlight w:val="none"/>
        </w:rPr>
        <w:t>分</w:t>
      </w:r>
    </w:p>
    <w:tbl>
      <w:tblPr>
        <w:tblStyle w:val="28"/>
        <w:tblpPr w:leftFromText="180" w:rightFromText="180" w:vertAnchor="text" w:horzAnchor="page" w:tblpXSpec="center" w:tblpY="35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091"/>
      </w:tblGrid>
      <w:tr w14:paraId="2480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176F5D3D">
            <w:pPr>
              <w:spacing w:line="440" w:lineRule="exact"/>
              <w:ind w:left="6" w:right="-109" w:rightChars="-52" w:hanging="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评分内容</w:t>
            </w:r>
          </w:p>
        </w:tc>
        <w:tc>
          <w:tcPr>
            <w:tcW w:w="8091" w:type="dxa"/>
            <w:tcBorders>
              <w:top w:val="single" w:color="auto" w:sz="4" w:space="0"/>
              <w:left w:val="nil"/>
              <w:bottom w:val="single" w:color="auto" w:sz="4" w:space="0"/>
              <w:right w:val="single" w:color="auto" w:sz="4" w:space="0"/>
            </w:tcBorders>
            <w:noWrap w:val="0"/>
            <w:vAlign w:val="center"/>
          </w:tcPr>
          <w:p w14:paraId="7F69FCD6">
            <w:pPr>
              <w:spacing w:line="440" w:lineRule="exact"/>
              <w:ind w:left="237" w:leftChars="113" w:right="-109" w:rightChars="-52" w:firstLine="3362" w:firstLineChars="119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评分标准</w:t>
            </w:r>
          </w:p>
        </w:tc>
      </w:tr>
      <w:tr w14:paraId="0B9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6B708680">
            <w:pPr>
              <w:spacing w:line="440" w:lineRule="exact"/>
              <w:ind w:left="6" w:right="-109" w:rightChars="-52" w:hanging="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企业</w:t>
            </w:r>
            <w:r>
              <w:rPr>
                <w:rFonts w:hint="eastAsia" w:ascii="仿宋" w:hAnsi="仿宋" w:eastAsia="仿宋" w:cs="仿宋"/>
                <w:color w:val="auto"/>
                <w:sz w:val="28"/>
                <w:szCs w:val="28"/>
                <w:highlight w:val="none"/>
              </w:rPr>
              <w:t>业绩</w:t>
            </w:r>
          </w:p>
          <w:p w14:paraId="5C1B2BAC">
            <w:pPr>
              <w:spacing w:line="440" w:lineRule="exact"/>
              <w:ind w:left="6" w:right="-109" w:rightChars="-52" w:hanging="6"/>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8091" w:type="dxa"/>
            <w:tcBorders>
              <w:top w:val="single" w:color="auto" w:sz="4" w:space="0"/>
              <w:left w:val="nil"/>
              <w:bottom w:val="single" w:color="auto" w:sz="4" w:space="0"/>
              <w:right w:val="single" w:color="auto" w:sz="4" w:space="0"/>
            </w:tcBorders>
            <w:noWrap w:val="0"/>
            <w:vAlign w:val="center"/>
          </w:tcPr>
          <w:p w14:paraId="061A65DE">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年1月1日</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业绩时间以</w:t>
            </w:r>
            <w:r>
              <w:rPr>
                <w:rFonts w:hint="eastAsia" w:ascii="仿宋" w:hAnsi="仿宋" w:eastAsia="仿宋"/>
                <w:color w:val="auto"/>
                <w:sz w:val="28"/>
                <w:szCs w:val="28"/>
                <w:highlight w:val="none"/>
                <w:lang w:val="en-US" w:eastAsia="zh-CN"/>
              </w:rPr>
              <w:t>合同签订</w:t>
            </w:r>
            <w:r>
              <w:rPr>
                <w:rFonts w:hint="eastAsia" w:ascii="仿宋" w:hAnsi="仿宋" w:eastAsia="仿宋"/>
                <w:color w:val="auto"/>
                <w:sz w:val="28"/>
                <w:szCs w:val="28"/>
                <w:highlight w:val="none"/>
              </w:rPr>
              <w:t>时间为准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以来，</w:t>
            </w:r>
            <w:r>
              <w:rPr>
                <w:rFonts w:hint="eastAsia" w:ascii="仿宋" w:hAnsi="仿宋" w:eastAsia="仿宋"/>
                <w:color w:val="auto"/>
                <w:sz w:val="28"/>
                <w:szCs w:val="28"/>
                <w:highlight w:val="none"/>
                <w:lang w:val="en-US" w:eastAsia="zh-CN"/>
              </w:rPr>
              <w:t>投标供应商</w:t>
            </w:r>
            <w:r>
              <w:rPr>
                <w:rFonts w:hint="eastAsia" w:ascii="仿宋" w:hAnsi="仿宋" w:eastAsia="仿宋"/>
                <w:color w:val="auto"/>
                <w:sz w:val="28"/>
                <w:szCs w:val="28"/>
                <w:highlight w:val="none"/>
              </w:rPr>
              <w:t>每</w:t>
            </w:r>
            <w:r>
              <w:rPr>
                <w:rFonts w:hint="eastAsia" w:ascii="仿宋" w:hAnsi="仿宋" w:eastAsia="仿宋"/>
                <w:color w:val="auto"/>
                <w:sz w:val="28"/>
                <w:szCs w:val="28"/>
                <w:highlight w:val="none"/>
                <w:lang w:val="en-US" w:eastAsia="zh-CN"/>
              </w:rPr>
              <w:t>提供</w:t>
            </w:r>
            <w:r>
              <w:rPr>
                <w:rFonts w:hint="eastAsia" w:ascii="仿宋" w:hAnsi="仿宋" w:eastAsia="仿宋"/>
                <w:color w:val="auto"/>
                <w:sz w:val="28"/>
                <w:szCs w:val="28"/>
                <w:highlight w:val="none"/>
              </w:rPr>
              <w:t>一个</w:t>
            </w:r>
            <w:r>
              <w:rPr>
                <w:rFonts w:hint="eastAsia" w:ascii="仿宋" w:hAnsi="仿宋" w:eastAsia="仿宋"/>
                <w:color w:val="auto"/>
                <w:sz w:val="28"/>
                <w:szCs w:val="28"/>
                <w:highlight w:val="none"/>
                <w:lang w:val="en-US" w:eastAsia="zh-CN"/>
              </w:rPr>
              <w:t>单项合同金额不低于150万元的类似项目业绩</w:t>
            </w:r>
            <w:r>
              <w:rPr>
                <w:rFonts w:hint="eastAsia" w:ascii="仿宋" w:hAnsi="仿宋" w:eastAsia="仿宋"/>
                <w:color w:val="auto"/>
                <w:sz w:val="28"/>
                <w:szCs w:val="28"/>
                <w:highlight w:val="none"/>
              </w:rPr>
              <w:t>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分，满分</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分</w:t>
            </w:r>
            <w:r>
              <w:rPr>
                <w:rFonts w:hint="eastAsia" w:ascii="仿宋" w:hAnsi="仿宋" w:eastAsia="仿宋"/>
                <w:color w:val="auto"/>
                <w:sz w:val="28"/>
                <w:szCs w:val="28"/>
                <w:highlight w:val="none"/>
                <w:lang w:eastAsia="zh-CN"/>
              </w:rPr>
              <w:t>。</w:t>
            </w:r>
          </w:p>
          <w:p w14:paraId="52E95288">
            <w:p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val="en-US" w:eastAsia="zh-CN"/>
              </w:rPr>
              <w:t>中标（成交）通知书、</w:t>
            </w:r>
            <w:r>
              <w:rPr>
                <w:rFonts w:hint="eastAsia" w:ascii="仿宋" w:hAnsi="仿宋" w:eastAsia="仿宋"/>
                <w:color w:val="auto"/>
                <w:sz w:val="28"/>
                <w:szCs w:val="28"/>
                <w:highlight w:val="none"/>
              </w:rPr>
              <w:t>项目合同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竣工验收报告（验收单）复印件或扫描件，</w:t>
            </w:r>
            <w:r>
              <w:rPr>
                <w:rFonts w:hint="eastAsia" w:ascii="仿宋" w:hAnsi="仿宋" w:eastAsia="仿宋"/>
                <w:color w:val="auto"/>
                <w:sz w:val="28"/>
                <w:szCs w:val="28"/>
                <w:highlight w:val="none"/>
                <w:lang w:val="en-US" w:eastAsia="zh-CN"/>
              </w:rPr>
              <w:t>不提供不得分。</w:t>
            </w:r>
          </w:p>
        </w:tc>
      </w:tr>
      <w:tr w14:paraId="0C62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3D25E52A">
            <w:pPr>
              <w:spacing w:line="440" w:lineRule="exact"/>
              <w:ind w:left="6" w:right="-109" w:rightChars="-52" w:hanging="6"/>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项目班子人</w:t>
            </w:r>
          </w:p>
          <w:p w14:paraId="6B7B6F16">
            <w:pPr>
              <w:spacing w:line="440" w:lineRule="exact"/>
              <w:ind w:left="6" w:right="-109" w:rightChars="-52" w:hanging="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员配置（</w:t>
            </w:r>
            <w:r>
              <w:rPr>
                <w:rFonts w:hint="eastAsia" w:ascii="仿宋" w:hAnsi="仿宋" w:eastAsia="仿宋" w:cs="仿宋"/>
                <w:color w:val="auto"/>
                <w:sz w:val="28"/>
                <w:szCs w:val="28"/>
                <w:highlight w:val="none"/>
                <w:lang w:val="en-US" w:eastAsia="zh-CN"/>
              </w:rPr>
              <w:t>25分</w:t>
            </w:r>
            <w:r>
              <w:rPr>
                <w:rFonts w:hint="eastAsia" w:ascii="仿宋" w:hAnsi="仿宋" w:eastAsia="仿宋" w:cs="仿宋"/>
                <w:color w:val="auto"/>
                <w:sz w:val="28"/>
                <w:szCs w:val="28"/>
                <w:highlight w:val="none"/>
                <w:lang w:eastAsia="zh-CN"/>
              </w:rPr>
              <w:t>）</w:t>
            </w:r>
          </w:p>
        </w:tc>
        <w:tc>
          <w:tcPr>
            <w:tcW w:w="8091" w:type="dxa"/>
            <w:tcBorders>
              <w:top w:val="single" w:color="auto" w:sz="4" w:space="0"/>
              <w:left w:val="nil"/>
              <w:bottom w:val="single" w:color="auto" w:sz="4" w:space="0"/>
              <w:right w:val="single" w:color="auto" w:sz="4" w:space="0"/>
            </w:tcBorders>
            <w:noWrap w:val="0"/>
            <w:vAlign w:val="center"/>
          </w:tcPr>
          <w:p w14:paraId="4361D83A">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供应商拟派项目经理具有工程类相关专业中级及以上专业技术职称的得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分，本项满分</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w:t>
            </w:r>
          </w:p>
          <w:p w14:paraId="231E87D9">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供应商拟派技术负责人具有工程类相关专业中级及以上专业技术职称的得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分，本项满分</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w:t>
            </w:r>
          </w:p>
          <w:p w14:paraId="0B540CF1">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拟派项目人员中（除项目负责人及技术负责人外）每增加一名工程类相关中级及以上专业技术职称证书的，得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分，满分</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lang w:eastAsia="zh-CN"/>
              </w:rPr>
              <w:t>分。</w:t>
            </w:r>
          </w:p>
          <w:p w14:paraId="43D71703">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注：</w:t>
            </w:r>
            <w:r>
              <w:rPr>
                <w:rFonts w:hint="eastAsia" w:ascii="仿宋" w:hAnsi="仿宋" w:eastAsia="仿宋" w:cstheme="minorBidi"/>
                <w:color w:val="auto"/>
                <w:kern w:val="2"/>
                <w:sz w:val="28"/>
                <w:szCs w:val="28"/>
                <w:highlight w:val="none"/>
                <w:lang w:val="en-US" w:eastAsia="zh-CN" w:bidi="ar-SA"/>
              </w:rPr>
              <w:t>(1）</w:t>
            </w:r>
            <w:r>
              <w:rPr>
                <w:rFonts w:hint="eastAsia" w:ascii="仿宋" w:hAnsi="仿宋" w:eastAsia="仿宋"/>
                <w:color w:val="auto"/>
                <w:sz w:val="28"/>
                <w:szCs w:val="28"/>
                <w:highlight w:val="none"/>
                <w:lang w:eastAsia="zh-CN"/>
              </w:rPr>
              <w:t>响应文件中提供</w:t>
            </w:r>
            <w:r>
              <w:rPr>
                <w:rFonts w:hint="eastAsia" w:ascii="仿宋" w:hAnsi="仿宋" w:eastAsia="仿宋"/>
                <w:color w:val="auto"/>
                <w:sz w:val="28"/>
                <w:szCs w:val="28"/>
                <w:highlight w:val="none"/>
                <w:lang w:val="en-US" w:eastAsia="zh-CN"/>
              </w:rPr>
              <w:t>职称</w:t>
            </w:r>
            <w:r>
              <w:rPr>
                <w:rFonts w:hint="eastAsia" w:ascii="仿宋" w:hAnsi="仿宋" w:eastAsia="仿宋"/>
                <w:color w:val="auto"/>
                <w:sz w:val="28"/>
                <w:szCs w:val="28"/>
                <w:highlight w:val="none"/>
                <w:lang w:eastAsia="zh-CN"/>
              </w:rPr>
              <w:t>证书扫描件，且符合以上要求，否则磋商小组不予计分。</w:t>
            </w:r>
          </w:p>
          <w:p w14:paraId="281AB82D">
            <w:pPr>
              <w:numPr>
                <w:ilvl w:val="0"/>
                <w:numId w:val="0"/>
              </w:num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（2）响应文件中须提供，自开标之日起往前追溯半年内由投标供应商为上述人员缴纳的连续3个月社保证明材料（提供加盖社保部门公章的社保证明或社保主管部门网页查询截图）。</w:t>
            </w:r>
          </w:p>
          <w:p w14:paraId="434213B2">
            <w:pPr>
              <w:numPr>
                <w:ilvl w:val="0"/>
                <w:numId w:val="0"/>
              </w:num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lang w:val="en-US" w:eastAsia="zh-CN"/>
              </w:rPr>
              <w:t>拟派高处作业人员，具有特种作业操作证（作业类别：高处作业）的，每提供一个得1分，满分10分。</w:t>
            </w:r>
          </w:p>
          <w:p w14:paraId="3A477533">
            <w:pPr>
              <w:numPr>
                <w:ilvl w:val="0"/>
                <w:numId w:val="0"/>
              </w:num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注：（</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响应文件中须提供，由投标供应商与上述人员签订的劳动合同。</w:t>
            </w:r>
          </w:p>
          <w:p w14:paraId="0C2EF084">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）响应文件中提供证书扫描件，且符合以上要求，否则磋商小组不予计分。</w:t>
            </w:r>
          </w:p>
        </w:tc>
      </w:tr>
      <w:tr w14:paraId="17FD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restart"/>
            <w:tcBorders>
              <w:top w:val="single" w:color="auto" w:sz="4" w:space="0"/>
              <w:left w:val="single" w:color="auto" w:sz="4" w:space="0"/>
              <w:right w:val="single" w:color="auto" w:sz="4" w:space="0"/>
            </w:tcBorders>
            <w:noWrap w:val="0"/>
            <w:vAlign w:val="center"/>
          </w:tcPr>
          <w:p w14:paraId="3E413422">
            <w:pPr>
              <w:autoSpaceDE w:val="0"/>
              <w:spacing w:line="44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施工组织设计（</w:t>
            </w:r>
            <w:r>
              <w:rPr>
                <w:rFonts w:hint="eastAsia" w:ascii="仿宋" w:hAnsi="仿宋" w:eastAsia="仿宋" w:cs="仿宋"/>
                <w:color w:val="auto"/>
                <w:sz w:val="28"/>
                <w:szCs w:val="28"/>
                <w:highlight w:val="none"/>
                <w:lang w:val="en-US" w:eastAsia="zh-CN"/>
              </w:rPr>
              <w:t>35</w:t>
            </w:r>
            <w:r>
              <w:rPr>
                <w:rFonts w:hint="eastAsia" w:ascii="仿宋" w:hAnsi="仿宋" w:eastAsia="仿宋" w:cs="仿宋"/>
                <w:color w:val="auto"/>
                <w:sz w:val="28"/>
                <w:szCs w:val="28"/>
                <w:highlight w:val="none"/>
              </w:rPr>
              <w:t>分）</w:t>
            </w:r>
          </w:p>
          <w:p w14:paraId="3775BD22">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74F09C5">
            <w:pPr>
              <w:pStyle w:val="44"/>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主要施工方法</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161B7FF9">
            <w:pPr>
              <w:rPr>
                <w:rFonts w:ascii="仿宋" w:hAnsi="仿宋" w:eastAsia="仿宋"/>
                <w:color w:val="auto"/>
                <w:sz w:val="28"/>
                <w:szCs w:val="28"/>
                <w:highlight w:val="none"/>
              </w:rPr>
            </w:pPr>
            <w:r>
              <w:rPr>
                <w:rFonts w:hint="eastAsia" w:ascii="仿宋" w:hAnsi="仿宋" w:eastAsia="仿宋"/>
                <w:color w:val="auto"/>
                <w:sz w:val="28"/>
                <w:szCs w:val="28"/>
                <w:highlight w:val="none"/>
              </w:rPr>
              <w:t>各主要分部施工方法符合项目实际，须有详尽的施工技术方案，工艺先进、方法科学合理、可行，能指导具体施工并确保安全。</w:t>
            </w:r>
          </w:p>
          <w:p w14:paraId="5B7DC4A7">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描述符合实际、施工工艺及技术科学合理、可实施性强的得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07901C53">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26BF2D9E">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描述基本合理，但存在部分缺陷的得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101C5C06">
            <w:pPr>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49A7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694DFC73">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39D7AEF">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确保工程质量的技术组织措施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3A01B2D3">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施工项目应有专门的质量技术管理班子和制度，且人员配备合理制度健全，各道工序应有质量技术保证措施和手段，自控体系完整，能有效保证技术质量，达到承诺的质量标准。</w:t>
            </w:r>
          </w:p>
          <w:p w14:paraId="5D4999BB">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描述符合实际、管理班子和制度及质量技术保证、可实施性强的得</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分；</w:t>
            </w:r>
          </w:p>
          <w:p w14:paraId="4C1EA848">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描述基本合理，能够指导项目实施的得</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分；</w:t>
            </w:r>
          </w:p>
          <w:p w14:paraId="5AE13805">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描述基本合理，但存在部分缺陷，得</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分；</w:t>
            </w:r>
          </w:p>
          <w:p w14:paraId="2B6004E3">
            <w:pPr>
              <w:autoSpaceDE w:val="0"/>
              <w:spacing w:line="440" w:lineRule="exact"/>
              <w:rPr>
                <w:rFonts w:hint="eastAsia" w:ascii="仿宋" w:hAnsi="仿宋" w:eastAsia="仿宋" w:cs="仿宋"/>
                <w:color w:val="auto"/>
                <w:kern w:val="0"/>
                <w:sz w:val="28"/>
                <w:szCs w:val="28"/>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53C4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69FCC405">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240FEF10">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确保安全生产的技术组织措施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5239E505">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施工项目应有专门的安全生产制度且人员配备合理，制度健全。各道工序安全技术措施针对性强，符合实际且满足有关安全技术标准要求，现场防火、社会治安安全措施</w:t>
            </w:r>
            <w:r>
              <w:rPr>
                <w:rFonts w:hint="eastAsia" w:ascii="仿宋" w:hAnsi="仿宋" w:eastAsia="仿宋"/>
                <w:color w:val="auto"/>
                <w:sz w:val="28"/>
                <w:szCs w:val="28"/>
                <w:highlight w:val="none"/>
                <w:lang w:val="en-US" w:eastAsia="zh-CN"/>
              </w:rPr>
              <w:t>及应急预案</w:t>
            </w:r>
            <w:r>
              <w:rPr>
                <w:rFonts w:hint="eastAsia" w:ascii="仿宋" w:hAnsi="仿宋" w:eastAsia="仿宋"/>
                <w:color w:val="auto"/>
                <w:sz w:val="28"/>
                <w:szCs w:val="28"/>
                <w:highlight w:val="none"/>
              </w:rPr>
              <w:t>得力。</w:t>
            </w:r>
          </w:p>
          <w:p w14:paraId="1894D9D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描述符合实际、人员配备合理及安全措施、可实施性强的得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44C56B93">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437C77D6">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04777F1C">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63BA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325E258C">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2E17F653">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确保工期的技术组织措施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29BDEEBF">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1有保证工期的具体措施且措施得当。</w:t>
            </w:r>
          </w:p>
          <w:p w14:paraId="4055374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2.有控制工期的施工进度计划。</w:t>
            </w:r>
          </w:p>
          <w:p w14:paraId="1B175472">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3.应有施工总进度表或施工网络图，各项计划图表编制完善，安排科学合理，符合本项目施工实际要求。</w:t>
            </w:r>
          </w:p>
          <w:p w14:paraId="0219938A">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描述符合实际、保证工期及进度、可实施性强的得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4B7BEE89">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6185074E">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5BDF9B32">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1A8F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515" w:type="dxa"/>
            <w:vMerge w:val="continue"/>
            <w:tcBorders>
              <w:left w:val="single" w:color="auto" w:sz="4" w:space="0"/>
              <w:right w:val="single" w:color="auto" w:sz="4" w:space="0"/>
            </w:tcBorders>
            <w:noWrap w:val="0"/>
            <w:vAlign w:val="center"/>
          </w:tcPr>
          <w:p w14:paraId="6C5C3A3A">
            <w:pPr>
              <w:autoSpaceDE w:val="0"/>
              <w:spacing w:line="440" w:lineRule="exact"/>
              <w:jc w:val="center"/>
              <w:rPr>
                <w:rFonts w:ascii="仿宋" w:hAnsi="仿宋" w:eastAsia="仿宋" w:cs="仿宋"/>
                <w:color w:val="auto"/>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A0D53D4">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确保文明施工的技术组织措施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664A8977">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针对本工程项目特点，有具体实现现场文明施工目标，现场文明施工计划，环境保护措施，各项措施周全、具体、有效。</w:t>
            </w:r>
          </w:p>
          <w:p w14:paraId="16E7D38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描述符合实际、文明施工计划及环保措施、可实施性强的得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3B95B361">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38267A1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44FCEDCB">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5483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5" w:type="dxa"/>
            <w:vMerge w:val="continue"/>
            <w:tcBorders>
              <w:left w:val="single" w:color="auto" w:sz="4" w:space="0"/>
              <w:right w:val="single" w:color="auto" w:sz="4" w:space="0"/>
            </w:tcBorders>
            <w:noWrap w:val="0"/>
            <w:vAlign w:val="center"/>
          </w:tcPr>
          <w:p w14:paraId="21B6F90A">
            <w:pPr>
              <w:pStyle w:val="44"/>
              <w:jc w:val="left"/>
              <w:rPr>
                <w:color w:val="auto"/>
                <w:highlight w:val="none"/>
              </w:rPr>
            </w:pPr>
          </w:p>
        </w:tc>
        <w:tc>
          <w:tcPr>
            <w:tcW w:w="8091" w:type="dxa"/>
            <w:tcBorders>
              <w:top w:val="single" w:color="auto" w:sz="4" w:space="0"/>
              <w:left w:val="nil"/>
              <w:bottom w:val="single" w:color="auto" w:sz="4" w:space="0"/>
              <w:right w:val="single" w:color="auto" w:sz="4" w:space="0"/>
            </w:tcBorders>
            <w:noWrap w:val="0"/>
            <w:vAlign w:val="top"/>
          </w:tcPr>
          <w:p w14:paraId="35C7200C">
            <w:pPr>
              <w:pStyle w:val="44"/>
              <w:jc w:val="left"/>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确保施工材料、</w:t>
            </w:r>
            <w:r>
              <w:rPr>
                <w:rFonts w:hint="eastAsia" w:ascii="仿宋" w:hAnsi="仿宋" w:eastAsia="仿宋" w:cs="仿宋"/>
                <w:b/>
                <w:color w:val="auto"/>
                <w:kern w:val="0"/>
                <w:sz w:val="28"/>
                <w:szCs w:val="28"/>
                <w:highlight w:val="none"/>
                <w:lang w:val="en-US" w:eastAsia="zh-CN"/>
              </w:rPr>
              <w:t>机械设备的组织方案</w:t>
            </w:r>
            <w:r>
              <w:rPr>
                <w:rFonts w:hint="eastAsia" w:ascii="仿宋" w:hAnsi="仿宋" w:eastAsia="仿宋"/>
                <w:b/>
                <w:bCs/>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w:t>
            </w:r>
            <w:r>
              <w:rPr>
                <w:rFonts w:hint="eastAsia" w:ascii="仿宋" w:hAnsi="仿宋" w:eastAsia="仿宋"/>
                <w:b/>
                <w:bCs/>
                <w:color w:val="auto"/>
                <w:sz w:val="28"/>
                <w:szCs w:val="28"/>
                <w:highlight w:val="none"/>
                <w:lang w:val="en-US" w:eastAsia="zh-CN"/>
              </w:rPr>
              <w:t>5分</w:t>
            </w:r>
            <w:r>
              <w:rPr>
                <w:rFonts w:hint="eastAsia" w:ascii="仿宋" w:hAnsi="仿宋" w:eastAsia="仿宋"/>
                <w:b/>
                <w:bCs/>
                <w:color w:val="auto"/>
                <w:sz w:val="28"/>
                <w:szCs w:val="28"/>
                <w:highlight w:val="none"/>
                <w:lang w:eastAsia="zh-CN"/>
              </w:rPr>
              <w:t>）</w:t>
            </w:r>
          </w:p>
          <w:p w14:paraId="41BF813D">
            <w:pPr>
              <w:pStyle w:val="44"/>
              <w:jc w:val="left"/>
              <w:rPr>
                <w:rFonts w:hint="eastAsia" w:ascii="仿宋" w:hAnsi="仿宋" w:eastAsia="仿宋"/>
                <w:b/>
                <w:bCs/>
                <w:color w:val="auto"/>
                <w:sz w:val="28"/>
                <w:szCs w:val="28"/>
                <w:highlight w:val="none"/>
                <w:lang w:eastAsia="zh-CN"/>
              </w:rPr>
            </w:pPr>
            <w:r>
              <w:rPr>
                <w:rFonts w:hint="eastAsia" w:ascii="仿宋" w:hAnsi="仿宋" w:eastAsia="仿宋"/>
                <w:color w:val="auto"/>
                <w:sz w:val="28"/>
                <w:szCs w:val="28"/>
                <w:highlight w:val="none"/>
              </w:rPr>
              <w:t>针对本工程项目特点</w:t>
            </w:r>
            <w:r>
              <w:rPr>
                <w:rFonts w:hint="eastAsia" w:ascii="仿宋" w:hAnsi="仿宋" w:eastAsia="仿宋"/>
                <w:color w:val="auto"/>
                <w:sz w:val="28"/>
                <w:szCs w:val="28"/>
                <w:highlight w:val="none"/>
                <w:lang w:eastAsia="zh-CN"/>
              </w:rPr>
              <w:t>，</w:t>
            </w:r>
            <w:r>
              <w:rPr>
                <w:rFonts w:hint="eastAsia" w:ascii="仿宋" w:hAnsi="仿宋" w:eastAsia="仿宋"/>
                <w:b w:val="0"/>
                <w:bCs w:val="0"/>
                <w:color w:val="auto"/>
                <w:sz w:val="28"/>
                <w:szCs w:val="28"/>
                <w:highlight w:val="none"/>
              </w:rPr>
              <w:t>施工材料</w:t>
            </w:r>
            <w:r>
              <w:rPr>
                <w:rFonts w:hint="eastAsia" w:ascii="仿宋" w:hAnsi="仿宋" w:eastAsia="仿宋"/>
                <w:b w:val="0"/>
                <w:bCs w:val="0"/>
                <w:color w:val="auto"/>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机械设备</w:t>
            </w:r>
            <w:r>
              <w:rPr>
                <w:rFonts w:hint="eastAsia" w:ascii="仿宋" w:hAnsi="仿宋" w:eastAsia="仿宋"/>
                <w:b w:val="0"/>
                <w:bCs w:val="0"/>
                <w:color w:val="auto"/>
                <w:sz w:val="28"/>
                <w:szCs w:val="28"/>
                <w:highlight w:val="none"/>
              </w:rPr>
              <w:t>有详细计划且计划周密，数量、选型配置、进场数量、时间安排合理，满足施工需要</w:t>
            </w:r>
            <w:r>
              <w:rPr>
                <w:rFonts w:hint="eastAsia" w:ascii="仿宋" w:hAnsi="仿宋" w:eastAsia="仿宋"/>
                <w:b w:val="0"/>
                <w:bCs w:val="0"/>
                <w:color w:val="auto"/>
                <w:sz w:val="28"/>
                <w:szCs w:val="28"/>
                <w:highlight w:val="none"/>
                <w:lang w:eastAsia="zh-CN"/>
              </w:rPr>
              <w:t>。</w:t>
            </w:r>
          </w:p>
          <w:p w14:paraId="5AD7F3AF">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方案内容全面完善细致，符合项目实际、方法科学合理、可行性强，利于本项目顺利实施，得5分；</w:t>
            </w:r>
          </w:p>
          <w:p w14:paraId="23E4AE78">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方案能够满足要求，方案全面，基本能够保障本项目实施，得3分；</w:t>
            </w:r>
          </w:p>
          <w:p w14:paraId="1B5253D6">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方案能满足基本要求，但缺少针对性、合理性，得1分；</w:t>
            </w:r>
          </w:p>
          <w:p w14:paraId="3E9BA21B">
            <w:pPr>
              <w:pStyle w:val="44"/>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428C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15" w:type="dxa"/>
            <w:vMerge w:val="continue"/>
            <w:tcBorders>
              <w:left w:val="single" w:color="auto" w:sz="4" w:space="0"/>
              <w:right w:val="single" w:color="auto" w:sz="4" w:space="0"/>
            </w:tcBorders>
            <w:noWrap w:val="0"/>
            <w:vAlign w:val="center"/>
          </w:tcPr>
          <w:p w14:paraId="044FCCC7">
            <w:pPr>
              <w:pStyle w:val="44"/>
              <w:jc w:val="left"/>
              <w:rPr>
                <w:color w:val="auto"/>
                <w:highlight w:val="none"/>
              </w:rPr>
            </w:pPr>
          </w:p>
        </w:tc>
        <w:tc>
          <w:tcPr>
            <w:tcW w:w="8091" w:type="dxa"/>
            <w:tcBorders>
              <w:top w:val="single" w:color="auto" w:sz="4" w:space="0"/>
              <w:left w:val="nil"/>
              <w:bottom w:val="single" w:color="auto" w:sz="4" w:space="0"/>
              <w:right w:val="single" w:color="auto" w:sz="4" w:space="0"/>
            </w:tcBorders>
            <w:noWrap w:val="0"/>
            <w:vAlign w:val="top"/>
          </w:tcPr>
          <w:p w14:paraId="16A39B63">
            <w:pPr>
              <w:pStyle w:val="44"/>
              <w:jc w:val="left"/>
              <w:rPr>
                <w:rFonts w:hint="eastAsia" w:ascii="仿宋" w:hAnsi="仿宋" w:eastAsia="仿宋"/>
                <w:b/>
                <w:bCs/>
                <w:color w:val="auto"/>
                <w:sz w:val="28"/>
                <w:szCs w:val="28"/>
                <w:highlight w:val="none"/>
                <w:lang w:eastAsia="zh-CN"/>
              </w:rPr>
            </w:pPr>
            <w:r>
              <w:rPr>
                <w:rFonts w:hint="eastAsia" w:ascii="仿宋" w:hAnsi="仿宋" w:eastAsia="仿宋"/>
                <w:b/>
                <w:bCs/>
                <w:color w:val="auto"/>
                <w:sz w:val="28"/>
                <w:szCs w:val="28"/>
                <w:highlight w:val="none"/>
              </w:rPr>
              <w:t>工程重难点及对应保证措施（</w:t>
            </w:r>
            <w:r>
              <w:rPr>
                <w:rFonts w:hint="eastAsia" w:ascii="仿宋" w:hAnsi="仿宋" w:eastAsia="仿宋"/>
                <w:b/>
                <w:bCs/>
                <w:color w:val="auto"/>
                <w:sz w:val="28"/>
                <w:szCs w:val="28"/>
                <w:highlight w:val="none"/>
                <w:lang w:val="en-US" w:eastAsia="zh-CN"/>
              </w:rPr>
              <w:t>满分</w:t>
            </w:r>
            <w:r>
              <w:rPr>
                <w:rFonts w:hint="eastAsia" w:ascii="仿宋" w:hAnsi="仿宋" w:eastAsia="仿宋"/>
                <w:b/>
                <w:bCs/>
                <w:color w:val="auto"/>
                <w:sz w:val="28"/>
                <w:szCs w:val="28"/>
                <w:highlight w:val="none"/>
              </w:rPr>
              <w:t>5分）</w:t>
            </w:r>
          </w:p>
          <w:p w14:paraId="1575AE22">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针对本工程项目各分部分项工程的工程重难点及对应保证措施进行综合评分：</w:t>
            </w:r>
          </w:p>
          <w:p w14:paraId="2E7BDDAC">
            <w:pPr>
              <w:pStyle w:val="44"/>
              <w:numPr>
                <w:ilvl w:val="0"/>
                <w:numId w:val="3"/>
              </w:numPr>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对施工中可能会产生的重点、难点进行分析梳理全面、详细，处理方法及步骤清晰，可行性、实用性、针对性强的，得5分；</w:t>
            </w:r>
          </w:p>
          <w:p w14:paraId="0E96C7D2">
            <w:pPr>
              <w:pStyle w:val="44"/>
              <w:numPr>
                <w:ilvl w:val="0"/>
                <w:numId w:val="0"/>
              </w:numPr>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对施工中可能会产生的重点、难点进行分析梳理清楚，处理方法及步骤较清晰，具有可行性、实用性、针对性</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，得3分；</w:t>
            </w:r>
          </w:p>
          <w:p w14:paraId="30FD55B0">
            <w:pPr>
              <w:pStyle w:val="44"/>
              <w:numPr>
                <w:ilvl w:val="0"/>
                <w:numId w:val="0"/>
              </w:numPr>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对施工中可能会产生的重点、难点进行分析梳理不完整，可行性、实用性、针对性有待改善</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，得1分；</w:t>
            </w:r>
          </w:p>
          <w:p w14:paraId="1C05A63D">
            <w:pPr>
              <w:pStyle w:val="44"/>
              <w:numPr>
                <w:ilvl w:val="0"/>
                <w:numId w:val="0"/>
              </w:numPr>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bl>
    <w:p w14:paraId="75D77284">
      <w:pPr>
        <w:pStyle w:val="8"/>
        <w:autoSpaceDE w:val="0"/>
        <w:spacing w:line="440" w:lineRule="exact"/>
        <w:rPr>
          <w:rFonts w:hint="eastAsia" w:ascii="仿宋" w:hAnsi="仿宋" w:eastAsia="仿宋" w:cs="仿宋"/>
          <w:color w:val="auto"/>
          <w:sz w:val="28"/>
          <w:szCs w:val="28"/>
          <w:highlight w:val="none"/>
        </w:rPr>
      </w:pPr>
    </w:p>
    <w:p w14:paraId="6D893632">
      <w:pPr>
        <w:pStyle w:val="8"/>
        <w:autoSpaceDE w:val="0"/>
        <w:spacing w:line="4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以上由评审专家分别打分，所有评审专家累计评分的算术平均值（保留小数点后两位，第三位四舍五入）即为各项的得分。本次磋商文件中要求提供的相关证明材料，投标时提供复印件或扫描件加盖投标供应商电子章，所有扫描件或复印件必须清晰可辨，因不清晰评委无法辨认按没提供处理供应商对证明材料真实性负法律责任，如虚假投标，采购人有权报请采购监管部门取消其成交资格；</w:t>
      </w:r>
    </w:p>
    <w:p w14:paraId="1FC2720D">
      <w:pPr>
        <w:pStyle w:val="2"/>
        <w:spacing w:line="440" w:lineRule="exact"/>
        <w:ind w:left="6" w:firstLine="560" w:firstLineChars="200"/>
        <w:rPr>
          <w:rFonts w:hint="default" w:ascii="仿宋" w:hAnsi="仿宋" w:eastAsia="仿宋" w:cs="仿宋"/>
          <w:b w:val="0"/>
          <w:color w:val="auto"/>
          <w:sz w:val="28"/>
          <w:szCs w:val="28"/>
          <w:highlight w:val="none"/>
        </w:rPr>
      </w:pPr>
      <w:bookmarkStart w:id="733" w:name="_Toc144907766"/>
      <w:bookmarkStart w:id="734" w:name="_Toc143443789"/>
      <w:bookmarkStart w:id="735" w:name="_Toc144969109"/>
      <w:r>
        <w:rPr>
          <w:rFonts w:ascii="仿宋" w:hAnsi="仿宋" w:eastAsia="仿宋" w:cs="仿宋"/>
          <w:b w:val="0"/>
          <w:color w:val="auto"/>
          <w:sz w:val="28"/>
          <w:szCs w:val="28"/>
          <w:highlight w:val="none"/>
        </w:rPr>
        <w:t>计算上的算术错误。修正错误的原则如下：</w:t>
      </w:r>
      <w:bookmarkEnd w:id="733"/>
      <w:bookmarkEnd w:id="734"/>
      <w:bookmarkEnd w:id="735"/>
    </w:p>
    <w:p w14:paraId="27E8DF7A">
      <w:pPr>
        <w:pStyle w:val="2"/>
        <w:spacing w:line="440" w:lineRule="exact"/>
        <w:ind w:left="6" w:firstLine="560" w:firstLineChars="200"/>
        <w:rPr>
          <w:rFonts w:hint="default" w:ascii="仿宋" w:hAnsi="仿宋" w:eastAsia="仿宋" w:cs="仿宋"/>
          <w:b w:val="0"/>
          <w:color w:val="auto"/>
          <w:sz w:val="28"/>
          <w:szCs w:val="28"/>
          <w:highlight w:val="none"/>
        </w:rPr>
      </w:pPr>
      <w:bookmarkStart w:id="736" w:name="_Toc143443790"/>
      <w:bookmarkStart w:id="737" w:name="_Toc144969110"/>
      <w:bookmarkStart w:id="738" w:name="_Toc144907767"/>
      <w:r>
        <w:rPr>
          <w:rFonts w:ascii="仿宋" w:hAnsi="仿宋" w:eastAsia="仿宋" w:cs="仿宋"/>
          <w:b w:val="0"/>
          <w:color w:val="auto"/>
          <w:sz w:val="28"/>
          <w:szCs w:val="28"/>
          <w:highlight w:val="none"/>
        </w:rPr>
        <w:t>（1）磋商响应文件中开标一览表（报价表）内容与磋商响应文件中明细表内容不一致的，以开标一览表（报价表）为准。</w:t>
      </w:r>
      <w:bookmarkEnd w:id="736"/>
      <w:bookmarkEnd w:id="737"/>
      <w:bookmarkEnd w:id="738"/>
    </w:p>
    <w:p w14:paraId="6639C0D3">
      <w:pPr>
        <w:pStyle w:val="2"/>
        <w:spacing w:line="440" w:lineRule="exact"/>
        <w:ind w:left="6" w:firstLine="560" w:firstLineChars="200"/>
        <w:rPr>
          <w:rFonts w:hint="default" w:ascii="仿宋" w:hAnsi="仿宋" w:eastAsia="仿宋" w:cs="仿宋"/>
          <w:b w:val="0"/>
          <w:color w:val="auto"/>
          <w:sz w:val="28"/>
          <w:szCs w:val="28"/>
          <w:highlight w:val="none"/>
        </w:rPr>
      </w:pPr>
      <w:bookmarkStart w:id="739" w:name="_Toc144907768"/>
      <w:bookmarkStart w:id="740" w:name="_Toc143443791"/>
      <w:bookmarkStart w:id="741" w:name="_Toc144969111"/>
      <w:r>
        <w:rPr>
          <w:rFonts w:ascii="仿宋" w:hAnsi="仿宋" w:eastAsia="仿宋" w:cs="仿宋"/>
          <w:b w:val="0"/>
          <w:color w:val="auto"/>
          <w:sz w:val="28"/>
          <w:szCs w:val="28"/>
          <w:highlight w:val="none"/>
        </w:rPr>
        <w:t>（2）如果数字表示的金额和用文字表示的金额不一致时，以文字表示的金额为准；</w:t>
      </w:r>
      <w:bookmarkEnd w:id="739"/>
      <w:bookmarkEnd w:id="740"/>
      <w:bookmarkEnd w:id="741"/>
      <w:r>
        <w:rPr>
          <w:rFonts w:ascii="仿宋" w:hAnsi="仿宋" w:eastAsia="仿宋" w:cs="仿宋"/>
          <w:b w:val="0"/>
          <w:color w:val="auto"/>
          <w:sz w:val="28"/>
          <w:szCs w:val="28"/>
          <w:highlight w:val="none"/>
        </w:rPr>
        <w:t xml:space="preserve"> </w:t>
      </w:r>
    </w:p>
    <w:p w14:paraId="58F4EC16">
      <w:pPr>
        <w:pStyle w:val="2"/>
        <w:spacing w:line="440" w:lineRule="exact"/>
        <w:ind w:left="6" w:firstLine="560" w:firstLineChars="200"/>
        <w:rPr>
          <w:rFonts w:hint="default" w:ascii="仿宋" w:hAnsi="仿宋" w:eastAsia="仿宋" w:cs="仿宋"/>
          <w:b w:val="0"/>
          <w:color w:val="auto"/>
          <w:sz w:val="28"/>
          <w:szCs w:val="28"/>
          <w:highlight w:val="none"/>
        </w:rPr>
      </w:pPr>
      <w:bookmarkStart w:id="742" w:name="_Toc143443792"/>
      <w:bookmarkStart w:id="743" w:name="_Toc144907769"/>
      <w:bookmarkStart w:id="744" w:name="_Toc144969112"/>
      <w:r>
        <w:rPr>
          <w:rFonts w:ascii="仿宋" w:hAnsi="仿宋" w:eastAsia="仿宋" w:cs="仿宋"/>
          <w:b w:val="0"/>
          <w:color w:val="auto"/>
          <w:sz w:val="28"/>
          <w:szCs w:val="28"/>
          <w:highlight w:val="none"/>
        </w:rPr>
        <w:t>（3）如果单价与数量的乘积和总价不一致，以单价为准。当小数点有明显的错误时，磋商小组将以总价为准，并修正其单价。</w:t>
      </w:r>
      <w:bookmarkEnd w:id="742"/>
      <w:bookmarkEnd w:id="743"/>
      <w:bookmarkEnd w:id="744"/>
      <w:r>
        <w:rPr>
          <w:rFonts w:ascii="仿宋" w:hAnsi="仿宋" w:eastAsia="仿宋" w:cs="仿宋"/>
          <w:b w:val="0"/>
          <w:color w:val="auto"/>
          <w:sz w:val="28"/>
          <w:szCs w:val="28"/>
          <w:highlight w:val="none"/>
        </w:rPr>
        <w:t xml:space="preserve"> </w:t>
      </w:r>
    </w:p>
    <w:p w14:paraId="060705A6">
      <w:pPr>
        <w:pStyle w:val="2"/>
        <w:spacing w:line="440" w:lineRule="exact"/>
        <w:ind w:left="6" w:firstLine="560" w:firstLineChars="200"/>
        <w:rPr>
          <w:rFonts w:hint="default" w:ascii="仿宋" w:hAnsi="仿宋" w:eastAsia="仿宋" w:cs="仿宋"/>
          <w:b w:val="0"/>
          <w:color w:val="auto"/>
          <w:sz w:val="28"/>
          <w:szCs w:val="28"/>
          <w:highlight w:val="none"/>
        </w:rPr>
      </w:pPr>
      <w:bookmarkStart w:id="745" w:name="_Toc144969113"/>
      <w:bookmarkStart w:id="746" w:name="_Toc144907770"/>
      <w:bookmarkStart w:id="747" w:name="_Toc143443793"/>
      <w:r>
        <w:rPr>
          <w:rFonts w:ascii="仿宋" w:hAnsi="仿宋" w:eastAsia="仿宋" w:cs="仿宋"/>
          <w:b w:val="0"/>
          <w:color w:val="auto"/>
          <w:sz w:val="28"/>
          <w:szCs w:val="28"/>
          <w:highlight w:val="none"/>
        </w:rPr>
        <w:t>（4）磋商小组将允许投标供应商修改其投标中不构成重大偏离的微小的、非正规的、不一致的或不规则的地方，但这些修改不能影响任何投标供应商的名次相应排列。报价关键漏（缺）项处理：</w:t>
      </w:r>
      <w:bookmarkEnd w:id="745"/>
      <w:bookmarkEnd w:id="746"/>
      <w:bookmarkEnd w:id="747"/>
    </w:p>
    <w:p w14:paraId="6CB6E04A">
      <w:pPr>
        <w:pStyle w:val="2"/>
        <w:spacing w:line="440" w:lineRule="exact"/>
        <w:ind w:left="6" w:firstLine="560" w:firstLineChars="200"/>
        <w:rPr>
          <w:rFonts w:hint="default" w:ascii="仿宋" w:hAnsi="仿宋" w:eastAsia="仿宋" w:cs="仿宋"/>
          <w:b w:val="0"/>
          <w:color w:val="auto"/>
          <w:sz w:val="28"/>
          <w:szCs w:val="28"/>
          <w:highlight w:val="none"/>
        </w:rPr>
      </w:pPr>
      <w:bookmarkStart w:id="748" w:name="_Toc144907771"/>
      <w:bookmarkStart w:id="749" w:name="_Toc143443794"/>
      <w:bookmarkStart w:id="750" w:name="_Toc144969114"/>
      <w:r>
        <w:rPr>
          <w:rFonts w:ascii="仿宋" w:hAnsi="仿宋" w:eastAsia="仿宋" w:cs="仿宋"/>
          <w:b w:val="0"/>
          <w:color w:val="auto"/>
          <w:sz w:val="28"/>
          <w:szCs w:val="28"/>
          <w:highlight w:val="none"/>
        </w:rPr>
        <w:t>磋商小组对合格的投标供应商的投标报价进行详细分析、核查，检查其是否存在关键漏（缺）报项，若存在关键漏（缺）报项，在评审时取其他有效投标供应商的该项有效报价中的最高报价加入评审价进行评审，对多报项及赠送项的价格评审时不予核减报价进行评审。磋商小组按照磋商文件规定对投标供应商报价进行调整修正，调整后的价格对投标供应商具有约束力。如果投标供应商不接受修正后的报价，则其报价将被拒绝，其磋商响应文件为无效投标响应文件。</w:t>
      </w:r>
      <w:bookmarkEnd w:id="748"/>
      <w:bookmarkEnd w:id="749"/>
      <w:bookmarkEnd w:id="750"/>
    </w:p>
    <w:p w14:paraId="6EA673E8">
      <w:pPr>
        <w:pStyle w:val="2"/>
        <w:spacing w:line="440" w:lineRule="exact"/>
        <w:ind w:left="6" w:firstLine="562" w:firstLineChars="200"/>
        <w:rPr>
          <w:rFonts w:hint="default" w:ascii="仿宋" w:hAnsi="仿宋" w:eastAsia="仿宋" w:cs="仿宋"/>
          <w:bCs/>
          <w:color w:val="auto"/>
          <w:sz w:val="28"/>
          <w:szCs w:val="28"/>
          <w:highlight w:val="none"/>
        </w:rPr>
      </w:pPr>
      <w:r>
        <w:rPr>
          <w:rFonts w:ascii="仿宋" w:hAnsi="仿宋" w:eastAsia="仿宋" w:cs="仿宋"/>
          <w:bCs/>
          <w:color w:val="auto"/>
          <w:sz w:val="28"/>
          <w:szCs w:val="28"/>
          <w:highlight w:val="none"/>
        </w:rPr>
        <w:t>3</w:t>
      </w:r>
      <w:bookmarkStart w:id="751" w:name="_Toc144907772"/>
      <w:bookmarkStart w:id="752" w:name="_Toc144969115"/>
      <w:bookmarkStart w:id="753" w:name="_Toc143443795"/>
      <w:r>
        <w:rPr>
          <w:rFonts w:ascii="仿宋" w:hAnsi="仿宋" w:eastAsia="仿宋" w:cs="仿宋"/>
          <w:bCs/>
          <w:color w:val="auto"/>
          <w:sz w:val="28"/>
          <w:szCs w:val="28"/>
          <w:highlight w:val="none"/>
        </w:rPr>
        <w:t>. 评审结果</w:t>
      </w:r>
      <w:bookmarkEnd w:id="751"/>
      <w:bookmarkEnd w:id="752"/>
      <w:bookmarkEnd w:id="753"/>
    </w:p>
    <w:p w14:paraId="39BCAC21">
      <w:pPr>
        <w:pStyle w:val="2"/>
        <w:spacing w:line="440" w:lineRule="exact"/>
        <w:ind w:left="6" w:firstLine="560" w:firstLineChars="200"/>
        <w:rPr>
          <w:rFonts w:hint="default" w:ascii="仿宋" w:hAnsi="仿宋" w:eastAsia="仿宋" w:cs="仿宋"/>
          <w:b w:val="0"/>
          <w:color w:val="auto"/>
          <w:sz w:val="28"/>
          <w:szCs w:val="28"/>
          <w:highlight w:val="none"/>
        </w:rPr>
      </w:pPr>
      <w:bookmarkStart w:id="754" w:name="_Toc143443797"/>
      <w:bookmarkStart w:id="755" w:name="_Toc144969117"/>
      <w:bookmarkStart w:id="756" w:name="_Toc144907774"/>
      <w:r>
        <w:rPr>
          <w:rFonts w:ascii="仿宋" w:hAnsi="仿宋" w:eastAsia="仿宋" w:cs="仿宋"/>
          <w:b w:val="0"/>
          <w:color w:val="auto"/>
          <w:sz w:val="28"/>
          <w:szCs w:val="28"/>
          <w:highlight w:val="none"/>
        </w:rPr>
        <w:t>（1）供应商实际得分为技术标评审和商务标评审两项得分之和。</w:t>
      </w:r>
      <w:bookmarkEnd w:id="754"/>
      <w:bookmarkEnd w:id="755"/>
      <w:bookmarkEnd w:id="756"/>
    </w:p>
    <w:p w14:paraId="27A5D621">
      <w:pPr>
        <w:pStyle w:val="2"/>
        <w:spacing w:line="440" w:lineRule="exact"/>
        <w:ind w:left="6" w:firstLine="560" w:firstLineChars="200"/>
        <w:rPr>
          <w:rFonts w:hint="default" w:ascii="仿宋" w:hAnsi="仿宋" w:eastAsia="仿宋" w:cs="仿宋"/>
          <w:b w:val="0"/>
          <w:color w:val="auto"/>
          <w:sz w:val="28"/>
          <w:szCs w:val="28"/>
          <w:highlight w:val="none"/>
        </w:rPr>
      </w:pPr>
      <w:bookmarkStart w:id="757" w:name="_Toc144907775"/>
      <w:bookmarkStart w:id="758" w:name="_Toc144969118"/>
      <w:bookmarkStart w:id="759" w:name="_Toc143443798"/>
      <w:r>
        <w:rPr>
          <w:rFonts w:ascii="仿宋" w:hAnsi="仿宋" w:eastAsia="仿宋" w:cs="仿宋"/>
          <w:b w:val="0"/>
          <w:color w:val="auto"/>
          <w:sz w:val="28"/>
          <w:szCs w:val="28"/>
          <w:highlight w:val="none"/>
        </w:rPr>
        <w:t>（2）技术标评审由全体磋商小组成员综合评议并独立打分，取所有评审专家打分的平均分作为供应商技术标的得分；商务标评审由全体磋商小组成员统计，全体磋商小组成员签字确认。</w:t>
      </w:r>
      <w:bookmarkEnd w:id="757"/>
      <w:bookmarkEnd w:id="758"/>
      <w:bookmarkEnd w:id="759"/>
    </w:p>
    <w:p w14:paraId="408B8EC0">
      <w:pPr>
        <w:pStyle w:val="2"/>
        <w:spacing w:line="440" w:lineRule="exact"/>
        <w:ind w:left="6" w:firstLine="560" w:firstLineChars="200"/>
        <w:rPr>
          <w:rFonts w:hint="default" w:ascii="仿宋" w:hAnsi="仿宋" w:eastAsia="仿宋" w:cs="仿宋"/>
          <w:b w:val="0"/>
          <w:color w:val="auto"/>
          <w:sz w:val="28"/>
          <w:szCs w:val="28"/>
          <w:highlight w:val="none"/>
        </w:rPr>
      </w:pPr>
      <w:bookmarkStart w:id="760" w:name="_Toc143443799"/>
      <w:bookmarkStart w:id="761" w:name="_Toc144907776"/>
      <w:bookmarkStart w:id="762" w:name="_Toc144969119"/>
      <w:r>
        <w:rPr>
          <w:rFonts w:ascii="仿宋" w:hAnsi="仿宋" w:eastAsia="仿宋" w:cs="仿宋"/>
          <w:b w:val="0"/>
          <w:color w:val="auto"/>
          <w:sz w:val="28"/>
          <w:szCs w:val="28"/>
          <w:highlight w:val="none"/>
        </w:rPr>
        <w:t>（3）</w:t>
      </w:r>
      <w:r>
        <w:rPr>
          <w:rFonts w:hint="eastAsia" w:ascii="仿宋" w:hAnsi="仿宋" w:eastAsia="仿宋" w:cs="仿宋"/>
          <w:b w:val="0"/>
          <w:color w:val="auto"/>
          <w:sz w:val="28"/>
          <w:szCs w:val="28"/>
          <w:highlight w:val="none"/>
          <w:lang w:val="en-US" w:eastAsia="zh-CN"/>
        </w:rPr>
        <w:t>供</w:t>
      </w:r>
      <w:r>
        <w:rPr>
          <w:rFonts w:ascii="仿宋" w:hAnsi="仿宋" w:eastAsia="仿宋" w:cs="仿宋"/>
          <w:b w:val="0"/>
          <w:color w:val="auto"/>
          <w:sz w:val="28"/>
          <w:szCs w:val="28"/>
          <w:highlight w:val="none"/>
        </w:rPr>
        <w:t>应商最终得分为技术标与商务标之和。</w:t>
      </w:r>
      <w:bookmarkEnd w:id="760"/>
      <w:bookmarkEnd w:id="761"/>
      <w:bookmarkEnd w:id="762"/>
    </w:p>
    <w:p w14:paraId="765E3BF3">
      <w:pPr>
        <w:spacing w:line="44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磋商小组各成员应当独立对每个有效响应的文件进行评价、打分，然后汇总每个供应商每项评分因素的得分，按照《政府采购竞争性磋商采购方式管理暂行办法》（财库〔2014〕214号），磋商小组应当根据综合评分情况，按照评审得分由高到低顺序推荐3名以上成交候选供应商，并编写审评报告。评审得分相同的，按照最后报价由低到高的顺序推荐。评审得分且最后报价相同的，按照技术指标优劣顺序推荐。</w:t>
      </w:r>
    </w:p>
    <w:p w14:paraId="0492596C">
      <w:pPr>
        <w:spacing w:line="44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（5）采购人授权磋商小组从评审报告提出的成交候选供应商中，按照排序由高到低的原则确定成交供应商。</w:t>
      </w:r>
    </w:p>
    <w:p w14:paraId="45BFAE6F">
      <w:pPr>
        <w:pStyle w:val="2"/>
        <w:spacing w:line="440" w:lineRule="exact"/>
        <w:ind w:left="6" w:firstLine="560" w:firstLineChars="200"/>
        <w:rPr>
          <w:rFonts w:hint="default" w:ascii="仿宋" w:hAnsi="仿宋" w:eastAsia="仿宋" w:cs="仿宋"/>
          <w:b w:val="0"/>
          <w:color w:val="auto"/>
          <w:sz w:val="28"/>
          <w:szCs w:val="28"/>
          <w:highlight w:val="none"/>
        </w:rPr>
      </w:pPr>
      <w:bookmarkStart w:id="763" w:name="_Toc144907777"/>
      <w:bookmarkStart w:id="764" w:name="_Toc144969120"/>
      <w:bookmarkStart w:id="765" w:name="_Toc143443800"/>
      <w:r>
        <w:rPr>
          <w:rFonts w:ascii="仿宋" w:hAnsi="仿宋" w:eastAsia="仿宋" w:cs="仿宋"/>
          <w:b w:val="0"/>
          <w:color w:val="auto"/>
          <w:sz w:val="28"/>
          <w:szCs w:val="28"/>
          <w:highlight w:val="none"/>
        </w:rPr>
        <w:t>（6）磋商小组不得将评标情况透露给予供应商有关的单位和个人。如有违反评标纪律的情况发生，将依据《中华人民共和国政府采购法》及其他有关法律法规的规定，追究有关当事人的责任。</w:t>
      </w:r>
      <w:bookmarkEnd w:id="763"/>
      <w:bookmarkEnd w:id="764"/>
      <w:bookmarkEnd w:id="765"/>
    </w:p>
    <w:p w14:paraId="51E3B834">
      <w:pPr>
        <w:pStyle w:val="2"/>
        <w:spacing w:line="440" w:lineRule="exact"/>
        <w:ind w:left="6" w:firstLine="560" w:firstLineChars="200"/>
        <w:rPr>
          <w:rFonts w:hint="default" w:ascii="仿宋" w:hAnsi="仿宋" w:eastAsia="仿宋" w:cs="仿宋"/>
          <w:b w:val="0"/>
          <w:color w:val="auto"/>
          <w:sz w:val="28"/>
          <w:szCs w:val="28"/>
          <w:highlight w:val="none"/>
        </w:rPr>
      </w:pPr>
      <w:bookmarkStart w:id="766" w:name="_Toc144907778"/>
      <w:bookmarkStart w:id="767" w:name="_Toc144969121"/>
      <w:bookmarkStart w:id="768" w:name="_Toc143443801"/>
      <w:r>
        <w:rPr>
          <w:rFonts w:ascii="仿宋" w:hAnsi="仿宋" w:eastAsia="仿宋" w:cs="仿宋"/>
          <w:b w:val="0"/>
          <w:color w:val="auto"/>
          <w:sz w:val="28"/>
          <w:szCs w:val="28"/>
          <w:highlight w:val="none"/>
        </w:rPr>
        <w:t>（7）本评审方法和标准的解释权属于采购人。</w:t>
      </w:r>
      <w:bookmarkEnd w:id="766"/>
      <w:bookmarkEnd w:id="767"/>
      <w:bookmarkEnd w:id="768"/>
    </w:p>
    <w:p w14:paraId="19FC9E07">
      <w:pPr>
        <w:pStyle w:val="45"/>
        <w:spacing w:after="0"/>
        <w:jc w:val="both"/>
        <w:rPr>
          <w:rStyle w:val="43"/>
          <w:rFonts w:hint="default" w:ascii="Arial Unicode MS" w:hAnsi="仿宋" w:eastAsia="Arial Unicode MS" w:cs="仿宋"/>
          <w:b w:val="0"/>
          <w:color w:val="auto"/>
          <w:sz w:val="44"/>
          <w:szCs w:val="44"/>
          <w:highlight w:val="none"/>
        </w:rPr>
      </w:pPr>
      <w:bookmarkStart w:id="769" w:name="_Toc144969122"/>
    </w:p>
    <w:p w14:paraId="1464ECDD">
      <w:pPr>
        <w:pStyle w:val="45"/>
        <w:spacing w:after="0"/>
        <w:jc w:val="both"/>
        <w:rPr>
          <w:rStyle w:val="43"/>
          <w:rFonts w:hint="default" w:ascii="Arial Unicode MS" w:hAnsi="仿宋" w:eastAsia="Arial Unicode MS" w:cs="仿宋"/>
          <w:b w:val="0"/>
          <w:color w:val="auto"/>
          <w:sz w:val="44"/>
          <w:szCs w:val="44"/>
          <w:highlight w:val="none"/>
        </w:rPr>
      </w:pPr>
    </w:p>
    <w:p w14:paraId="09E84C98">
      <w:pPr>
        <w:pStyle w:val="45"/>
        <w:spacing w:after="0"/>
        <w:jc w:val="both"/>
        <w:rPr>
          <w:rStyle w:val="43"/>
          <w:rFonts w:hint="default" w:ascii="Arial Unicode MS" w:hAnsi="仿宋" w:eastAsia="Arial Unicode MS" w:cs="仿宋"/>
          <w:b w:val="0"/>
          <w:color w:val="auto"/>
          <w:sz w:val="44"/>
          <w:szCs w:val="44"/>
          <w:highlight w:val="none"/>
        </w:rPr>
      </w:pPr>
    </w:p>
    <w:p w14:paraId="705E9154">
      <w:pPr>
        <w:pStyle w:val="45"/>
        <w:spacing w:after="0"/>
        <w:jc w:val="both"/>
        <w:rPr>
          <w:rStyle w:val="43"/>
          <w:rFonts w:hint="default" w:ascii="Arial Unicode MS" w:hAnsi="仿宋" w:eastAsia="Arial Unicode MS" w:cs="仿宋"/>
          <w:b w:val="0"/>
          <w:color w:val="auto"/>
          <w:sz w:val="44"/>
          <w:szCs w:val="44"/>
          <w:highlight w:val="none"/>
        </w:rPr>
      </w:pPr>
    </w:p>
    <w:p w14:paraId="1181B380">
      <w:pPr>
        <w:pStyle w:val="45"/>
        <w:spacing w:after="0"/>
        <w:jc w:val="both"/>
        <w:rPr>
          <w:rStyle w:val="43"/>
          <w:rFonts w:hint="default" w:ascii="Arial Unicode MS" w:hAnsi="仿宋" w:eastAsia="Arial Unicode MS" w:cs="仿宋"/>
          <w:b w:val="0"/>
          <w:color w:val="auto"/>
          <w:sz w:val="44"/>
          <w:szCs w:val="44"/>
          <w:highlight w:val="none"/>
        </w:rPr>
      </w:pPr>
    </w:p>
    <w:p w14:paraId="55BC14F0">
      <w:pPr>
        <w:pStyle w:val="45"/>
        <w:spacing w:after="0"/>
        <w:jc w:val="both"/>
        <w:rPr>
          <w:rStyle w:val="43"/>
          <w:rFonts w:hint="default" w:ascii="Arial Unicode MS" w:hAnsi="仿宋" w:eastAsia="Arial Unicode MS" w:cs="仿宋"/>
          <w:b w:val="0"/>
          <w:color w:val="auto"/>
          <w:sz w:val="44"/>
          <w:szCs w:val="44"/>
          <w:highlight w:val="none"/>
        </w:rPr>
      </w:pPr>
    </w:p>
    <w:p w14:paraId="21DD7959">
      <w:pPr>
        <w:pStyle w:val="45"/>
        <w:spacing w:after="0"/>
        <w:jc w:val="both"/>
        <w:rPr>
          <w:rStyle w:val="43"/>
          <w:rFonts w:hint="default" w:ascii="Arial Unicode MS" w:hAnsi="仿宋" w:eastAsia="Arial Unicode MS" w:cs="仿宋"/>
          <w:b w:val="0"/>
          <w:color w:val="auto"/>
          <w:sz w:val="44"/>
          <w:szCs w:val="44"/>
          <w:highlight w:val="none"/>
        </w:rPr>
      </w:pPr>
    </w:p>
    <w:p w14:paraId="3CB41738">
      <w:pPr>
        <w:pStyle w:val="45"/>
        <w:spacing w:after="0"/>
        <w:jc w:val="both"/>
        <w:rPr>
          <w:rStyle w:val="43"/>
          <w:rFonts w:hint="default" w:ascii="Arial Unicode MS" w:hAnsi="仿宋" w:eastAsia="Arial Unicode MS" w:cs="仿宋"/>
          <w:b w:val="0"/>
          <w:color w:val="auto"/>
          <w:sz w:val="44"/>
          <w:szCs w:val="44"/>
          <w:highlight w:val="none"/>
        </w:rPr>
      </w:pPr>
    </w:p>
    <w:p w14:paraId="437EA08D">
      <w:pPr>
        <w:pStyle w:val="45"/>
        <w:spacing w:after="0"/>
        <w:jc w:val="center"/>
        <w:rPr>
          <w:rStyle w:val="43"/>
          <w:rFonts w:hint="eastAsia" w:ascii="方正仿宋_GB2312" w:hAnsi="方正仿宋_GB2312" w:eastAsia="方正仿宋_GB2312" w:cs="方正仿宋_GB2312"/>
          <w:b w:val="0"/>
          <w:color w:val="auto"/>
          <w:sz w:val="96"/>
          <w:szCs w:val="96"/>
          <w:highlight w:val="none"/>
        </w:rPr>
      </w:pPr>
      <w:r>
        <w:rPr>
          <w:rStyle w:val="43"/>
          <w:rFonts w:hint="eastAsia" w:ascii="方正仿宋_GB2312" w:hAnsi="方正仿宋_GB2312" w:eastAsia="方正仿宋_GB2312" w:cs="方正仿宋_GB2312"/>
          <w:b/>
          <w:bCs/>
          <w:color w:val="auto"/>
          <w:sz w:val="44"/>
          <w:szCs w:val="44"/>
          <w:highlight w:val="none"/>
          <w:lang w:val="en-US" w:eastAsia="zh-CN"/>
        </w:rPr>
        <w:t>第六章</w:t>
      </w:r>
      <w:r>
        <w:rPr>
          <w:rStyle w:val="43"/>
          <w:rFonts w:hint="eastAsia" w:ascii="方正仿宋_GB2312" w:hAnsi="方正仿宋_GB2312" w:eastAsia="方正仿宋_GB2312" w:cs="方正仿宋_GB2312"/>
          <w:b w:val="0"/>
          <w:color w:val="auto"/>
          <w:sz w:val="44"/>
          <w:szCs w:val="44"/>
          <w:highlight w:val="none"/>
        </w:rPr>
        <w:t xml:space="preserve"> </w:t>
      </w:r>
      <w:r>
        <w:rPr>
          <w:rStyle w:val="43"/>
          <w:rFonts w:hint="eastAsia" w:ascii="方正仿宋_GB2312" w:hAnsi="方正仿宋_GB2312" w:eastAsia="方正仿宋_GB2312" w:cs="方正仿宋_GB2312"/>
          <w:b w:val="0"/>
          <w:color w:val="auto"/>
          <w:sz w:val="96"/>
          <w:szCs w:val="96"/>
          <w:highlight w:val="none"/>
        </w:rPr>
        <w:t xml:space="preserve"> </w:t>
      </w:r>
      <w:bookmarkEnd w:id="769"/>
      <w:r>
        <w:rPr>
          <w:rStyle w:val="43"/>
          <w:rFonts w:hint="eastAsia" w:ascii="方正仿宋_GB2312" w:hAnsi="方正仿宋_GB2312" w:eastAsia="方正仿宋_GB2312" w:cs="方正仿宋_GB2312"/>
          <w:b/>
          <w:bCs/>
          <w:color w:val="auto"/>
          <w:sz w:val="44"/>
          <w:szCs w:val="44"/>
          <w:highlight w:val="none"/>
          <w:lang w:val="en-US" w:eastAsia="zh-CN"/>
        </w:rPr>
        <w:t>建设工程施工合同</w:t>
      </w:r>
    </w:p>
    <w:p w14:paraId="062AB89A">
      <w:pPr>
        <w:pStyle w:val="45"/>
        <w:spacing w:after="0"/>
        <w:jc w:val="center"/>
        <w:rPr>
          <w:rFonts w:hint="default" w:ascii="仿宋" w:hAnsi="仿宋" w:eastAsia="仿宋" w:cs="仿宋"/>
          <w:b/>
          <w:color w:val="auto"/>
          <w:w w:val="90"/>
          <w:kern w:val="2"/>
          <w:sz w:val="24"/>
          <w:szCs w:val="24"/>
          <w:highlight w:val="none"/>
          <w:lang w:val="en-US" w:eastAsia="zh-CN" w:bidi="ar-SA"/>
        </w:rPr>
      </w:pPr>
    </w:p>
    <w:p w14:paraId="621D137D">
      <w:pPr>
        <w:pStyle w:val="8"/>
        <w:spacing w:line="400" w:lineRule="exact"/>
        <w:rPr>
          <w:rFonts w:ascii="仿宋" w:hAnsi="仿宋" w:eastAsia="仿宋" w:cs="仿宋"/>
          <w:b/>
          <w:color w:val="auto"/>
          <w:sz w:val="24"/>
          <w:szCs w:val="24"/>
          <w:highlight w:val="none"/>
        </w:rPr>
      </w:pPr>
    </w:p>
    <w:p w14:paraId="2386B936">
      <w:pPr>
        <w:autoSpaceDE w:val="0"/>
        <w:autoSpaceDN w:val="0"/>
        <w:spacing w:line="400" w:lineRule="exact"/>
        <w:ind w:firstLine="434" w:firstLineChars="200"/>
        <w:rPr>
          <w:rFonts w:ascii="仿宋" w:hAnsi="仿宋" w:eastAsia="仿宋" w:cs="仿宋"/>
          <w:b/>
          <w:color w:val="auto"/>
          <w:w w:val="90"/>
          <w:sz w:val="24"/>
          <w:highlight w:val="none"/>
        </w:rPr>
      </w:pPr>
      <w:r>
        <w:rPr>
          <w:rFonts w:hint="eastAsia" w:ascii="仿宋" w:hAnsi="仿宋" w:eastAsia="仿宋" w:cs="仿宋"/>
          <w:b/>
          <w:color w:val="auto"/>
          <w:w w:val="90"/>
          <w:sz w:val="24"/>
          <w:highlight w:val="none"/>
        </w:rPr>
        <w:t>合同条款及格式适用住房城乡建设部、国家工商行政管理局2017年9月22日印发的《建设工程施工合同（示范文本）》（GF-2017-0201）（建市[2017]214号）</w:t>
      </w:r>
    </w:p>
    <w:p w14:paraId="1B779D71">
      <w:pPr>
        <w:keepNext/>
        <w:keepLines/>
        <w:pageBreakBefore w:val="0"/>
        <w:widowControl w:val="0"/>
        <w:kinsoku/>
        <w:wordWrap/>
        <w:overflowPunct/>
        <w:topLinePunct w:val="0"/>
        <w:autoSpaceDE/>
        <w:autoSpaceDN/>
        <w:bidi w:val="0"/>
        <w:adjustRightInd/>
        <w:snapToGrid/>
        <w:spacing w:before="700" w:after="700" w:line="400" w:lineRule="exact"/>
        <w:jc w:val="center"/>
        <w:textAlignment w:val="auto"/>
        <w:rPr>
          <w:rFonts w:ascii="仿宋" w:hAnsi="仿宋" w:eastAsia="仿宋" w:cs="仿宋"/>
          <w:color w:val="auto"/>
          <w:sz w:val="32"/>
          <w:szCs w:val="32"/>
          <w:highlight w:val="none"/>
        </w:rPr>
      </w:pPr>
      <w:bookmarkStart w:id="770" w:name="_Toc16516"/>
      <w:bookmarkStart w:id="771" w:name="_Toc7211"/>
      <w:bookmarkStart w:id="772" w:name="_Toc484453862"/>
      <w:bookmarkStart w:id="773" w:name="_Toc511035930"/>
      <w:bookmarkStart w:id="774" w:name="_Toc26320"/>
      <w:bookmarkStart w:id="775" w:name="_Toc30697"/>
      <w:bookmarkStart w:id="776" w:name="_Toc29341"/>
      <w:bookmarkStart w:id="777" w:name="_Toc29307"/>
      <w:bookmarkStart w:id="778" w:name="_Toc20948"/>
      <w:r>
        <w:rPr>
          <w:rFonts w:hint="eastAsia" w:ascii="仿宋" w:hAnsi="仿宋" w:eastAsia="仿宋" w:cs="仿宋"/>
          <w:b/>
          <w:bCs/>
          <w:color w:val="auto"/>
          <w:sz w:val="32"/>
          <w:szCs w:val="32"/>
          <w:highlight w:val="none"/>
        </w:rPr>
        <w:t>一、合同协议书</w:t>
      </w:r>
      <w:bookmarkEnd w:id="770"/>
      <w:bookmarkEnd w:id="771"/>
      <w:bookmarkEnd w:id="772"/>
      <w:bookmarkEnd w:id="773"/>
      <w:bookmarkEnd w:id="774"/>
      <w:bookmarkEnd w:id="775"/>
    </w:p>
    <w:p w14:paraId="047F5094">
      <w:pPr>
        <w:spacing w:line="400" w:lineRule="exact"/>
        <w:rPr>
          <w:rFonts w:ascii="仿宋" w:hAnsi="仿宋" w:eastAsia="仿宋" w:cs="仿宋"/>
          <w:b/>
          <w:color w:val="auto"/>
          <w:sz w:val="24"/>
          <w:highlight w:val="none"/>
          <w:u w:val="single"/>
        </w:rPr>
      </w:pPr>
      <w:r>
        <w:rPr>
          <w:rFonts w:hint="eastAsia" w:ascii="仿宋" w:hAnsi="仿宋" w:eastAsia="仿宋" w:cs="仿宋"/>
          <w:b/>
          <w:color w:val="auto"/>
          <w:sz w:val="24"/>
          <w:highlight w:val="none"/>
        </w:rPr>
        <w:t>发包人（全称）：</w:t>
      </w:r>
      <w:r>
        <w:rPr>
          <w:rFonts w:hint="eastAsia" w:ascii="仿宋" w:hAnsi="仿宋" w:eastAsia="仿宋" w:cs="仿宋"/>
          <w:b/>
          <w:color w:val="auto"/>
          <w:sz w:val="24"/>
          <w:highlight w:val="none"/>
          <w:u w:val="single"/>
          <w:lang w:eastAsia="zh-CN"/>
        </w:rPr>
        <w:t>安徽惠群城市物业有限公司</w:t>
      </w:r>
      <w:r>
        <w:rPr>
          <w:rFonts w:hint="eastAsia" w:ascii="仿宋" w:hAnsi="仿宋" w:eastAsia="仿宋" w:cs="仿宋"/>
          <w:b/>
          <w:color w:val="auto"/>
          <w:sz w:val="24"/>
          <w:highlight w:val="none"/>
          <w:u w:val="single"/>
        </w:rPr>
        <w:t xml:space="preserve"> </w:t>
      </w:r>
    </w:p>
    <w:p w14:paraId="070B613B">
      <w:pPr>
        <w:spacing w:line="400" w:lineRule="exact"/>
        <w:rPr>
          <w:rFonts w:hint="eastAsia"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rPr>
        <w:t>承包人（全称）：</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lang w:val="en-US" w:eastAsia="zh-CN"/>
        </w:rPr>
        <w:t xml:space="preserve">        </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lang w:val="en-US" w:eastAsia="zh-CN"/>
        </w:rPr>
        <w:t xml:space="preserve"> </w:t>
      </w:r>
    </w:p>
    <w:p w14:paraId="2F74E025">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根据《中华人民共和国民法典》《中华人民共和国建筑法》及有关法律规定，遵循平等、自愿、公平和诚实信用的原则，双方就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西城嘉园小区公租房装修改造外墙及屋面防水工程</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施工及有关事项协商一致，共同达成如下协议：</w:t>
      </w:r>
    </w:p>
    <w:p w14:paraId="7F8E4335">
      <w:pPr>
        <w:keepNext/>
        <w:keepLines/>
        <w:spacing w:before="120" w:after="120" w:line="400" w:lineRule="exact"/>
        <w:rPr>
          <w:rFonts w:ascii="仿宋" w:hAnsi="仿宋" w:eastAsia="仿宋" w:cs="仿宋"/>
          <w:b/>
          <w:color w:val="auto"/>
          <w:sz w:val="24"/>
          <w:highlight w:val="none"/>
        </w:rPr>
      </w:pPr>
      <w:bookmarkStart w:id="779" w:name="_Toc351203481"/>
      <w:r>
        <w:rPr>
          <w:rFonts w:hint="eastAsia" w:ascii="仿宋" w:hAnsi="仿宋" w:eastAsia="仿宋" w:cs="仿宋"/>
          <w:bCs/>
          <w:color w:val="auto"/>
          <w:sz w:val="24"/>
          <w:highlight w:val="none"/>
        </w:rPr>
        <w:t>1、工程概况</w:t>
      </w:r>
      <w:bookmarkEnd w:id="779"/>
    </w:p>
    <w:p w14:paraId="7A606C14">
      <w:pPr>
        <w:autoSpaceDE w:val="0"/>
        <w:autoSpaceDN w:val="0"/>
        <w:spacing w:line="400" w:lineRule="exact"/>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bCs/>
          <w:color w:val="auto"/>
          <w:sz w:val="24"/>
          <w:highlight w:val="none"/>
        </w:rPr>
        <w:t>（1）工程名称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eastAsia="zh-CN"/>
        </w:rPr>
        <w:t>西城嘉园小区公租房装修改造外墙及屋面防水工程</w:t>
      </w:r>
    </w:p>
    <w:p w14:paraId="22ACBAF5">
      <w:pPr>
        <w:autoSpaceDE w:val="0"/>
        <w:autoSpaceDN w:val="0"/>
        <w:spacing w:line="400" w:lineRule="exact"/>
        <w:ind w:firstLine="480" w:firstLineChars="200"/>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（2）工程地点：</w:t>
      </w:r>
      <w:r>
        <w:rPr>
          <w:rFonts w:hint="eastAsia" w:ascii="仿宋" w:hAnsi="仿宋" w:eastAsia="仿宋" w:cs="仿宋"/>
          <w:color w:val="auto"/>
          <w:sz w:val="24"/>
          <w:highlight w:val="none"/>
          <w:u w:val="single"/>
          <w:lang w:val="en-US" w:eastAsia="zh-CN"/>
        </w:rPr>
        <w:t xml:space="preserve">               </w:t>
      </w:r>
    </w:p>
    <w:p w14:paraId="36CF568B">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（3）工程立项批准文号：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p>
    <w:p w14:paraId="3DE7D0C0">
      <w:pPr>
        <w:autoSpaceDE w:val="0"/>
        <w:autoSpaceDN w:val="0"/>
        <w:spacing w:line="400" w:lineRule="exact"/>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（4）资金来源：</w:t>
      </w:r>
      <w:r>
        <w:rPr>
          <w:rFonts w:hint="eastAsia" w:ascii="仿宋" w:hAnsi="仿宋" w:eastAsia="仿宋" w:cs="仿宋"/>
          <w:color w:val="auto"/>
          <w:sz w:val="24"/>
          <w:highlight w:val="none"/>
          <w:u w:val="single"/>
          <w:lang w:val="en-US" w:eastAsia="zh-CN"/>
        </w:rPr>
        <w:t>自筹</w:t>
      </w:r>
    </w:p>
    <w:p w14:paraId="6C107562">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（5）工程内容：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p>
    <w:p w14:paraId="3548B807">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群体工程应附《承包人承揽工程项目一览表》（附件1）。</w:t>
      </w:r>
    </w:p>
    <w:p w14:paraId="31A8B8F0">
      <w:pPr>
        <w:autoSpaceDE w:val="0"/>
        <w:autoSpaceDN w:val="0"/>
        <w:spacing w:line="400" w:lineRule="exact"/>
        <w:ind w:firstLine="480" w:firstLineChars="200"/>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（6）工程承包范围：</w:t>
      </w:r>
      <w:bookmarkStart w:id="780" w:name="_Toc351203482"/>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西城嘉园小区公租房</w:t>
      </w:r>
      <w:r>
        <w:rPr>
          <w:rFonts w:hint="eastAsia" w:ascii="仿宋" w:hAnsi="仿宋" w:eastAsia="仿宋" w:cs="仿宋"/>
          <w:color w:val="auto"/>
          <w:sz w:val="24"/>
          <w:highlight w:val="none"/>
          <w:u w:val="single"/>
          <w:lang w:val="en-US" w:eastAsia="zh-CN"/>
        </w:rPr>
        <w:t>外墙维修、屋面防水施工以及建筑垃圾清运等。</w:t>
      </w:r>
      <w:r>
        <w:rPr>
          <w:rFonts w:hint="eastAsia" w:ascii="仿宋" w:hAnsi="仿宋" w:eastAsia="仿宋" w:cs="仿宋"/>
          <w:bCs/>
          <w:color w:val="auto"/>
          <w:sz w:val="24"/>
          <w:highlight w:val="none"/>
          <w:u w:val="single"/>
          <w:lang w:val="en-US" w:eastAsia="zh-CN"/>
        </w:rPr>
        <w:t>具体详见</w:t>
      </w:r>
      <w:r>
        <w:rPr>
          <w:rFonts w:hint="eastAsia" w:ascii="仿宋" w:hAnsi="仿宋" w:eastAsia="仿宋" w:cs="仿宋"/>
          <w:color w:val="auto"/>
          <w:sz w:val="24"/>
          <w:highlight w:val="none"/>
          <w:u w:val="single"/>
          <w:lang w:val="en-US" w:eastAsia="zh-CN"/>
        </w:rPr>
        <w:t>竞争性磋商</w:t>
      </w:r>
      <w:r>
        <w:rPr>
          <w:rFonts w:hint="eastAsia" w:ascii="仿宋" w:hAnsi="仿宋" w:eastAsia="仿宋" w:cs="仿宋"/>
          <w:color w:val="auto"/>
          <w:sz w:val="24"/>
          <w:highlight w:val="none"/>
          <w:u w:val="single"/>
        </w:rPr>
        <w:t>文件、工程量清单、答疑及施工图纸等所含的全部工程内容</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 xml:space="preserve">       </w:t>
      </w:r>
    </w:p>
    <w:p w14:paraId="1CC3DE2D">
      <w:pPr>
        <w:keepNext/>
        <w:keepLines/>
        <w:spacing w:before="120" w:after="120" w:line="40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2、合同工期</w:t>
      </w:r>
      <w:bookmarkEnd w:id="780"/>
    </w:p>
    <w:p w14:paraId="67760703">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计划开工日期：</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日。</w:t>
      </w:r>
    </w:p>
    <w:p w14:paraId="044822DA">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计划竣工日期：</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日。</w:t>
      </w:r>
    </w:p>
    <w:p w14:paraId="755D619D">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工期总日历天数：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日历天。工期总日历天数与根据前述计划开竣工日期计算的工期天数不一致的，以工期总日历天数为准。</w:t>
      </w:r>
    </w:p>
    <w:p w14:paraId="72557537">
      <w:pPr>
        <w:keepNext/>
        <w:keepLines/>
        <w:pageBreakBefore w:val="0"/>
        <w:widowControl w:val="0"/>
        <w:numPr>
          <w:ilvl w:val="0"/>
          <w:numId w:val="4"/>
        </w:numPr>
        <w:kinsoku/>
        <w:wordWrap/>
        <w:overflowPunct/>
        <w:topLinePunct w:val="0"/>
        <w:autoSpaceDE/>
        <w:autoSpaceDN/>
        <w:bidi w:val="0"/>
        <w:adjustRightInd/>
        <w:snapToGrid/>
        <w:spacing w:line="400" w:lineRule="exact"/>
        <w:ind w:left="239" w:leftChars="114" w:firstLine="240" w:firstLineChars="100"/>
        <w:textAlignment w:val="auto"/>
        <w:rPr>
          <w:rFonts w:hint="eastAsia" w:ascii="仿宋" w:hAnsi="仿宋" w:eastAsia="仿宋" w:cs="仿宋"/>
          <w:bCs/>
          <w:color w:val="auto"/>
          <w:sz w:val="24"/>
          <w:highlight w:val="none"/>
        </w:rPr>
      </w:pPr>
      <w:bookmarkStart w:id="781" w:name="_Toc351203483"/>
      <w:r>
        <w:rPr>
          <w:rFonts w:hint="eastAsia" w:ascii="仿宋" w:hAnsi="仿宋" w:eastAsia="仿宋" w:cs="仿宋"/>
          <w:bCs/>
          <w:color w:val="auto"/>
          <w:sz w:val="24"/>
          <w:highlight w:val="none"/>
        </w:rPr>
        <w:t>质量标准</w:t>
      </w:r>
      <w:bookmarkEnd w:id="781"/>
    </w:p>
    <w:p w14:paraId="569825B3">
      <w:pPr>
        <w:autoSpaceDE w:val="0"/>
        <w:autoSpaceDN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工程质量标准：符合国家现行的建筑工程施工质量验收统一标准及相关专业验收规范的合格标准，并达到本合同约定的</w:t>
      </w:r>
      <w:r>
        <w:rPr>
          <w:rFonts w:hint="eastAsia" w:ascii="仿宋" w:hAnsi="仿宋" w:eastAsia="仿宋" w:cs="仿宋"/>
          <w:color w:val="auto"/>
          <w:sz w:val="24"/>
          <w:highlight w:val="none"/>
          <w:lang w:val="en-US" w:eastAsia="zh-CN"/>
        </w:rPr>
        <w:t>质量</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合格</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标准。</w:t>
      </w:r>
    </w:p>
    <w:p w14:paraId="16AD808F">
      <w:pPr>
        <w:autoSpaceDE w:val="0"/>
        <w:autoSpaceDN w:val="0"/>
        <w:spacing w:line="400" w:lineRule="exact"/>
        <w:ind w:firstLine="480" w:firstLineChars="200"/>
        <w:rPr>
          <w:rFonts w:hint="eastAsia" w:ascii="仿宋" w:hAnsi="仿宋" w:eastAsia="仿宋" w:cs="仿宋"/>
          <w:color w:val="auto"/>
          <w:sz w:val="24"/>
          <w:highlight w:val="none"/>
          <w:lang w:val="en-US" w:eastAsia="zh-CN"/>
        </w:rPr>
      </w:pPr>
    </w:p>
    <w:p w14:paraId="5BB4AF0F">
      <w:pPr>
        <w:autoSpaceDE w:val="0"/>
        <w:autoSpaceDN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4、合同价款及支付方式</w:t>
      </w:r>
    </w:p>
    <w:p w14:paraId="4B05C389">
      <w:pPr>
        <w:autoSpaceDE w:val="0"/>
        <w:autoSpaceDN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合同单价：</w:t>
      </w:r>
    </w:p>
    <w:p w14:paraId="1922EE78">
      <w:pPr>
        <w:autoSpaceDE w:val="0"/>
        <w:autoSpaceDN w:val="0"/>
        <w:spacing w:line="40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本合同采用</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color w:val="auto"/>
          <w:sz w:val="24"/>
          <w:highlight w:val="none"/>
          <w:u w:val="single"/>
        </w:rPr>
        <w:t>单价合同</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形式，各项工程单价详见附件《工程单价清单》。</w:t>
      </w:r>
      <w:r>
        <w:rPr>
          <w:rFonts w:hint="eastAsia" w:ascii="仿宋" w:hAnsi="仿宋" w:eastAsia="仿宋" w:cs="仿宋"/>
          <w:b/>
          <w:bCs/>
          <w:color w:val="auto"/>
          <w:sz w:val="24"/>
          <w:highlight w:val="none"/>
        </w:rPr>
        <w:t>该单价为固定综合单价，包含完成该项工程所需的人工、材料、机械、管理费、利润、规费、税金以及风险等一切费用，在合同履行期间不因市场价格波动、政策调整等任何因素而调整，除非本合同另有约定</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如：部分工程施工工艺调整后，综合单价应随之调整</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14:paraId="7D12239F">
      <w:pPr>
        <w:autoSpaceDE w:val="0"/>
        <w:autoSpaceDN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合同总价：根据</w:t>
      </w:r>
      <w:r>
        <w:rPr>
          <w:rFonts w:hint="eastAsia" w:ascii="仿宋" w:hAnsi="仿宋" w:eastAsia="仿宋" w:cs="仿宋"/>
          <w:color w:val="auto"/>
          <w:sz w:val="24"/>
          <w:highlight w:val="none"/>
          <w:lang w:val="en-US" w:eastAsia="zh-CN"/>
        </w:rPr>
        <w:t>经双方确认的</w:t>
      </w:r>
      <w:r>
        <w:rPr>
          <w:rFonts w:hint="eastAsia" w:ascii="仿宋" w:hAnsi="仿宋" w:eastAsia="仿宋" w:cs="仿宋"/>
          <w:color w:val="auto"/>
          <w:sz w:val="24"/>
          <w:highlight w:val="none"/>
        </w:rPr>
        <w:t>实际完成工程量乘以合同单价确定，暂定为人民币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元整）。最终合同总价以双方结算为准。</w:t>
      </w:r>
    </w:p>
    <w:p w14:paraId="3A90F1D1">
      <w:pPr>
        <w:keepNext/>
        <w:keepLines/>
        <w:spacing w:before="120" w:after="120" w:line="400" w:lineRule="exact"/>
        <w:rPr>
          <w:rFonts w:ascii="仿宋" w:hAnsi="仿宋" w:eastAsia="仿宋" w:cs="仿宋"/>
          <w:bCs/>
          <w:color w:val="auto"/>
          <w:sz w:val="24"/>
          <w:highlight w:val="none"/>
        </w:rPr>
      </w:pPr>
      <w:bookmarkStart w:id="782" w:name="_Toc351203485"/>
      <w:r>
        <w:rPr>
          <w:rFonts w:hint="eastAsia" w:ascii="仿宋" w:hAnsi="仿宋" w:eastAsia="仿宋" w:cs="仿宋"/>
          <w:bCs/>
          <w:color w:val="auto"/>
          <w:sz w:val="24"/>
          <w:highlight w:val="none"/>
        </w:rPr>
        <w:t>5、</w:t>
      </w:r>
      <w:bookmarkEnd w:id="782"/>
      <w:r>
        <w:rPr>
          <w:rFonts w:hint="eastAsia" w:ascii="仿宋" w:hAnsi="仿宋" w:eastAsia="仿宋" w:cs="仿宋"/>
          <w:bCs/>
          <w:color w:val="auto"/>
          <w:sz w:val="24"/>
          <w:highlight w:val="none"/>
        </w:rPr>
        <w:t>项目经理</w:t>
      </w:r>
    </w:p>
    <w:p w14:paraId="4FC15E28">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承包人项目经理（项目负责人）：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，专业证号：</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497A9C00">
      <w:pPr>
        <w:keepNext/>
        <w:keepLines/>
        <w:spacing w:before="120" w:after="120" w:line="400" w:lineRule="exact"/>
        <w:rPr>
          <w:rFonts w:ascii="仿宋" w:hAnsi="仿宋" w:eastAsia="仿宋" w:cs="仿宋"/>
          <w:b/>
          <w:color w:val="auto"/>
          <w:sz w:val="24"/>
          <w:highlight w:val="none"/>
        </w:rPr>
      </w:pPr>
      <w:bookmarkStart w:id="783" w:name="_Toc351203486"/>
      <w:r>
        <w:rPr>
          <w:rFonts w:hint="eastAsia" w:ascii="仿宋" w:hAnsi="仿宋" w:eastAsia="仿宋" w:cs="仿宋"/>
          <w:bCs/>
          <w:color w:val="auto"/>
          <w:sz w:val="24"/>
          <w:highlight w:val="none"/>
        </w:rPr>
        <w:t>6、合同文件构成</w:t>
      </w:r>
      <w:bookmarkEnd w:id="783"/>
    </w:p>
    <w:p w14:paraId="1532A184">
      <w:pPr>
        <w:spacing w:line="40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本协议书与下列文件一起构成合同文件：</w:t>
      </w:r>
    </w:p>
    <w:p w14:paraId="690A384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（1）中标通知书（如果有）；</w:t>
      </w:r>
    </w:p>
    <w:p w14:paraId="3B2E204D">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（2）投标函及其附录（如果有）； </w:t>
      </w:r>
    </w:p>
    <w:p w14:paraId="563D4A77">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（3）专用合同条款及其附件；</w:t>
      </w:r>
    </w:p>
    <w:p w14:paraId="11FF6D9E">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（4）通用合同条款；</w:t>
      </w:r>
    </w:p>
    <w:p w14:paraId="212731D0">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（5）技术标准和要求；</w:t>
      </w:r>
    </w:p>
    <w:p w14:paraId="24635A79">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（6）图纸；</w:t>
      </w:r>
    </w:p>
    <w:p w14:paraId="7EF8DD6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（7）已标价工程量清单或预算书；</w:t>
      </w:r>
    </w:p>
    <w:p w14:paraId="456877ED">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（8）其他合同文件。</w:t>
      </w:r>
    </w:p>
    <w:p w14:paraId="149E5B2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在合同订立及履行过程中形成的与合同有关的文件均构成合同文件组成部分。</w:t>
      </w:r>
    </w:p>
    <w:p w14:paraId="22295ADE">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136043E2">
      <w:pPr>
        <w:keepNext/>
        <w:keepLines/>
        <w:spacing w:before="120" w:after="120" w:line="400" w:lineRule="exact"/>
        <w:rPr>
          <w:rFonts w:ascii="仿宋" w:hAnsi="仿宋" w:eastAsia="仿宋" w:cs="仿宋"/>
          <w:color w:val="auto"/>
          <w:sz w:val="24"/>
          <w:highlight w:val="none"/>
        </w:rPr>
      </w:pPr>
      <w:bookmarkStart w:id="784" w:name="_Toc351203487"/>
      <w:r>
        <w:rPr>
          <w:rFonts w:hint="eastAsia" w:ascii="仿宋" w:hAnsi="仿宋" w:eastAsia="仿宋" w:cs="仿宋"/>
          <w:bCs/>
          <w:color w:val="auto"/>
          <w:sz w:val="24"/>
          <w:highlight w:val="none"/>
        </w:rPr>
        <w:t>7、承诺</w:t>
      </w:r>
      <w:bookmarkEnd w:id="784"/>
    </w:p>
    <w:p w14:paraId="5D024836">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（1）发包人承诺按照法律规定筹集工程建设资金并按照合同约定的期限和方式支付合同价款。</w:t>
      </w:r>
    </w:p>
    <w:p w14:paraId="5C7C702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344615DB">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（3）发包人和承包人通过招投标形式签订合同的，双方理解并承诺不再就同一工程另行签订与合同实质性内容相背离的协议。</w:t>
      </w:r>
    </w:p>
    <w:p w14:paraId="056EC8A8">
      <w:pPr>
        <w:spacing w:line="400" w:lineRule="exact"/>
        <w:rPr>
          <w:rFonts w:ascii="仿宋" w:hAnsi="仿宋" w:eastAsia="仿宋" w:cs="仿宋"/>
          <w:b w:val="0"/>
          <w:bCs/>
          <w:color w:val="auto"/>
          <w:sz w:val="24"/>
          <w:highlight w:val="none"/>
        </w:rPr>
      </w:pPr>
      <w:bookmarkStart w:id="785" w:name="_Toc351203488"/>
      <w:r>
        <w:rPr>
          <w:rFonts w:hint="eastAsia" w:ascii="仿宋" w:hAnsi="仿宋" w:eastAsia="仿宋" w:cs="仿宋"/>
          <w:b w:val="0"/>
          <w:bCs/>
          <w:color w:val="auto"/>
          <w:sz w:val="24"/>
          <w:highlight w:val="none"/>
        </w:rPr>
        <w:t>8、词语含义</w:t>
      </w:r>
      <w:bookmarkEnd w:id="785"/>
    </w:p>
    <w:p w14:paraId="2F51E4C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本协议书中词语含义与第二部分通用合同条款中赋予的含义相同。</w:t>
      </w:r>
    </w:p>
    <w:p w14:paraId="3AF6347A">
      <w:pPr>
        <w:keepNext/>
        <w:keepLines/>
        <w:spacing w:before="120" w:after="120" w:line="400" w:lineRule="exact"/>
        <w:rPr>
          <w:rFonts w:ascii="仿宋" w:hAnsi="仿宋" w:eastAsia="仿宋" w:cs="仿宋"/>
          <w:b/>
          <w:color w:val="auto"/>
          <w:sz w:val="24"/>
          <w:highlight w:val="none"/>
        </w:rPr>
      </w:pPr>
      <w:bookmarkStart w:id="786" w:name="_Toc351203489"/>
      <w:r>
        <w:rPr>
          <w:rFonts w:hint="eastAsia" w:ascii="仿宋" w:hAnsi="仿宋" w:eastAsia="仿宋" w:cs="仿宋"/>
          <w:bCs/>
          <w:color w:val="auto"/>
          <w:sz w:val="24"/>
          <w:highlight w:val="none"/>
        </w:rPr>
        <w:t>9、签订时间</w:t>
      </w:r>
      <w:bookmarkEnd w:id="786"/>
    </w:p>
    <w:p w14:paraId="231C3D30">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本合同于</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日签订。</w:t>
      </w:r>
    </w:p>
    <w:p w14:paraId="5AAA430B">
      <w:pPr>
        <w:keepNext/>
        <w:keepLines/>
        <w:spacing w:before="120" w:after="120" w:line="400" w:lineRule="exact"/>
        <w:rPr>
          <w:rFonts w:ascii="仿宋" w:hAnsi="仿宋" w:eastAsia="仿宋" w:cs="仿宋"/>
          <w:b/>
          <w:color w:val="auto"/>
          <w:sz w:val="24"/>
          <w:highlight w:val="none"/>
        </w:rPr>
      </w:pPr>
      <w:bookmarkStart w:id="787" w:name="_Toc351203490"/>
      <w:r>
        <w:rPr>
          <w:rFonts w:hint="eastAsia" w:ascii="仿宋" w:hAnsi="仿宋" w:eastAsia="仿宋" w:cs="仿宋"/>
          <w:bCs/>
          <w:color w:val="auto"/>
          <w:sz w:val="24"/>
          <w:highlight w:val="none"/>
        </w:rPr>
        <w:t>10、签订地点</w:t>
      </w:r>
      <w:bookmarkEnd w:id="787"/>
    </w:p>
    <w:p w14:paraId="0797B3F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本合同在</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签订。</w:t>
      </w:r>
    </w:p>
    <w:p w14:paraId="1885A29B">
      <w:pPr>
        <w:keepNext/>
        <w:keepLines/>
        <w:spacing w:before="120" w:after="120" w:line="400" w:lineRule="exact"/>
        <w:rPr>
          <w:rFonts w:ascii="仿宋" w:hAnsi="仿宋" w:eastAsia="仿宋" w:cs="仿宋"/>
          <w:b/>
          <w:color w:val="auto"/>
          <w:sz w:val="24"/>
          <w:highlight w:val="none"/>
        </w:rPr>
      </w:pPr>
      <w:bookmarkStart w:id="788" w:name="_Toc351203491"/>
      <w:r>
        <w:rPr>
          <w:rFonts w:hint="eastAsia" w:ascii="仿宋" w:hAnsi="仿宋" w:eastAsia="仿宋" w:cs="仿宋"/>
          <w:bCs/>
          <w:color w:val="auto"/>
          <w:sz w:val="24"/>
          <w:highlight w:val="none"/>
        </w:rPr>
        <w:t>11、补充协议</w:t>
      </w:r>
      <w:bookmarkEnd w:id="788"/>
    </w:p>
    <w:p w14:paraId="50B7B4F2">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合同未尽事宜，合同当事人另行签订补充协议，补充协议是合同的组成部分。</w:t>
      </w:r>
    </w:p>
    <w:p w14:paraId="2AD20024">
      <w:pPr>
        <w:keepNext/>
        <w:keepLines/>
        <w:spacing w:before="120" w:after="120" w:line="400" w:lineRule="exact"/>
        <w:rPr>
          <w:rFonts w:ascii="仿宋" w:hAnsi="仿宋" w:eastAsia="仿宋" w:cs="仿宋"/>
          <w:b/>
          <w:color w:val="auto"/>
          <w:sz w:val="24"/>
          <w:highlight w:val="none"/>
        </w:rPr>
      </w:pPr>
      <w:bookmarkStart w:id="789" w:name="_Toc351203492"/>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、合同生效</w:t>
      </w:r>
      <w:bookmarkEnd w:id="789"/>
    </w:p>
    <w:p w14:paraId="06A4C8E8">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本合同自</w:t>
      </w:r>
      <w:r>
        <w:rPr>
          <w:rFonts w:hint="eastAsia" w:ascii="仿宋" w:hAnsi="仿宋" w:eastAsia="仿宋" w:cs="仿宋"/>
          <w:bCs/>
          <w:color w:val="auto"/>
          <w:sz w:val="24"/>
          <w:highlight w:val="none"/>
          <w:u w:val="single"/>
        </w:rPr>
        <w:t xml:space="preserve"> </w:t>
      </w:r>
      <w:r>
        <w:rPr>
          <w:rFonts w:hint="eastAsia" w:ascii="仿宋" w:hAnsi="仿宋" w:eastAsia="仿宋" w:cs="仿宋"/>
          <w:b/>
          <w:color w:val="auto"/>
          <w:sz w:val="24"/>
          <w:highlight w:val="none"/>
          <w:u w:val="single" w:color="000000"/>
        </w:rPr>
        <w:t>双方法定代表人或其授权代理人签字、加盖单位印章后</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生效。</w:t>
      </w:r>
    </w:p>
    <w:p w14:paraId="5D98FED1">
      <w:pPr>
        <w:keepNext/>
        <w:keepLines/>
        <w:spacing w:before="120" w:after="120" w:line="400" w:lineRule="exact"/>
        <w:rPr>
          <w:rFonts w:ascii="仿宋" w:hAnsi="仿宋" w:eastAsia="仿宋" w:cs="仿宋"/>
          <w:b/>
          <w:color w:val="auto"/>
          <w:sz w:val="24"/>
          <w:highlight w:val="none"/>
        </w:rPr>
      </w:pPr>
      <w:bookmarkStart w:id="790" w:name="_Toc351203493"/>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、合同份数</w:t>
      </w:r>
      <w:bookmarkEnd w:id="790"/>
    </w:p>
    <w:p w14:paraId="51D4724F">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本合同一式</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8</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份，均具有同等法律效力，发包人执</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6</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份，承包人执</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2</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份，代理人</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u w:val="single"/>
          <w:lang w:val="en-US" w:eastAsia="zh-CN"/>
        </w:rPr>
        <w:t xml:space="preserve">  1  </w:t>
      </w:r>
      <w:r>
        <w:rPr>
          <w:rFonts w:hint="eastAsia" w:ascii="仿宋" w:hAnsi="仿宋" w:eastAsia="仿宋" w:cs="仿宋"/>
          <w:bCs/>
          <w:color w:val="auto"/>
          <w:sz w:val="24"/>
          <w:highlight w:val="none"/>
        </w:rPr>
        <w:t>份。</w:t>
      </w:r>
    </w:p>
    <w:p w14:paraId="4214B9B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发包人：  （公章）             承包人：  （公章）</w:t>
      </w:r>
    </w:p>
    <w:p w14:paraId="04A0A19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p>
    <w:p w14:paraId="0A8FE8C1">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法定代表人或其委托代理人：  法定代表人或其委托代理人：</w:t>
      </w:r>
    </w:p>
    <w:p w14:paraId="37301874">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（签字）                    （签字）</w:t>
      </w:r>
    </w:p>
    <w:p w14:paraId="40A6C066">
      <w:pPr>
        <w:spacing w:line="400" w:lineRule="exact"/>
        <w:ind w:firstLine="480" w:firstLineChars="200"/>
        <w:rPr>
          <w:rFonts w:ascii="仿宋" w:hAnsi="仿宋" w:eastAsia="仿宋" w:cs="仿宋"/>
          <w:bCs/>
          <w:color w:val="auto"/>
          <w:sz w:val="24"/>
          <w:highlight w:val="none"/>
        </w:rPr>
      </w:pPr>
    </w:p>
    <w:p w14:paraId="6AD63F76">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组织机构代码：</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组织机构代码：</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w:t>
      </w:r>
    </w:p>
    <w:p w14:paraId="03E67045">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地  址：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地  址：</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w:t>
      </w:r>
    </w:p>
    <w:p w14:paraId="4131FAB2">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邮政编码：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邮政编码：</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4A4738B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法定代表人：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 xml:space="preserve">  法定代表人：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0F60EC6E">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委托代理人：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委托代理人：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4E76D268">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电  话：</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电  话：</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2CC3A08E">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传  真：</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传  真：</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w:t>
      </w:r>
    </w:p>
    <w:p w14:paraId="33666741">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电子信箱：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电子信箱：</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359612A5">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开户银行：</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开户银行：</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40E8E904">
      <w:pPr>
        <w:spacing w:line="400" w:lineRule="exact"/>
        <w:ind w:firstLine="480" w:firstLineChars="200"/>
        <w:rPr>
          <w:rFonts w:ascii="仿宋" w:hAnsi="仿宋" w:eastAsia="仿宋" w:cs="仿宋"/>
          <w:b/>
          <w:bCs/>
          <w:color w:val="auto"/>
          <w:sz w:val="28"/>
          <w:szCs w:val="32"/>
          <w:highlight w:val="none"/>
        </w:rPr>
      </w:pPr>
      <w:r>
        <w:rPr>
          <w:rFonts w:hint="eastAsia" w:ascii="仿宋" w:hAnsi="仿宋" w:eastAsia="仿宋" w:cs="仿宋"/>
          <w:bCs/>
          <w:color w:val="auto"/>
          <w:sz w:val="24"/>
          <w:highlight w:val="none"/>
        </w:rPr>
        <w:t>账  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账  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bookmarkStart w:id="791" w:name="_Toc29952"/>
      <w:bookmarkStart w:id="792" w:name="_Toc511035931"/>
      <w:bookmarkStart w:id="793" w:name="_Toc32696"/>
      <w:bookmarkStart w:id="794" w:name="_Toc5153"/>
      <w:r>
        <w:rPr>
          <w:rFonts w:hint="eastAsia" w:ascii="仿宋" w:hAnsi="仿宋" w:eastAsia="仿宋" w:cs="仿宋"/>
          <w:b/>
          <w:bCs/>
          <w:color w:val="auto"/>
          <w:sz w:val="24"/>
          <w:highlight w:val="none"/>
        </w:rPr>
        <w:br w:type="page"/>
      </w:r>
    </w:p>
    <w:p w14:paraId="5D9B854C">
      <w:pPr>
        <w:keepNext/>
        <w:keepLines/>
        <w:spacing w:before="100" w:after="100" w:line="240" w:lineRule="atLeast"/>
        <w:jc w:val="center"/>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二、</w:t>
      </w:r>
      <w:r>
        <w:rPr>
          <w:rFonts w:hint="eastAsia" w:ascii="仿宋" w:hAnsi="仿宋" w:eastAsia="仿宋" w:cs="仿宋"/>
          <w:b/>
          <w:bCs/>
          <w:color w:val="auto"/>
          <w:sz w:val="28"/>
          <w:szCs w:val="32"/>
          <w:highlight w:val="none"/>
          <w:lang w:eastAsia="zh-TW"/>
        </w:rPr>
        <w:t>通用条款</w:t>
      </w:r>
      <w:bookmarkEnd w:id="791"/>
      <w:bookmarkEnd w:id="792"/>
      <w:bookmarkEnd w:id="793"/>
      <w:bookmarkEnd w:id="794"/>
    </w:p>
    <w:p w14:paraId="4FC5AA25">
      <w:pPr>
        <w:ind w:firstLine="420"/>
        <w:rPr>
          <w:rFonts w:ascii="仿宋" w:hAnsi="仿宋" w:eastAsia="仿宋" w:cs="仿宋"/>
          <w:b/>
          <w:color w:val="auto"/>
          <w:sz w:val="24"/>
          <w:highlight w:val="none"/>
        </w:rPr>
      </w:pPr>
    </w:p>
    <w:p w14:paraId="0673C82A">
      <w:pPr>
        <w:spacing w:line="360" w:lineRule="exact"/>
        <w:jc w:val="center"/>
        <w:rPr>
          <w:rFonts w:ascii="仿宋" w:hAnsi="仿宋" w:eastAsia="仿宋" w:cs="仿宋"/>
          <w:color w:val="auto"/>
          <w:sz w:val="24"/>
          <w:highlight w:val="none"/>
        </w:rPr>
      </w:pPr>
      <w:r>
        <w:rPr>
          <w:rFonts w:hint="eastAsia" w:ascii="仿宋" w:hAnsi="仿宋" w:eastAsia="仿宋" w:cs="仿宋"/>
          <w:b/>
          <w:color w:val="auto"/>
          <w:sz w:val="24"/>
          <w:highlight w:val="none"/>
        </w:rPr>
        <w:t>执行GF-2017-0201合同文本的通用条款（略）</w:t>
      </w:r>
    </w:p>
    <w:p w14:paraId="02D300A2">
      <w:pPr>
        <w:spacing w:line="360" w:lineRule="exact"/>
        <w:ind w:firstLine="420"/>
        <w:rPr>
          <w:rFonts w:ascii="仿宋" w:hAnsi="仿宋" w:eastAsia="仿宋" w:cs="仿宋"/>
          <w:color w:val="auto"/>
          <w:sz w:val="24"/>
          <w:highlight w:val="none"/>
        </w:rPr>
      </w:pPr>
    </w:p>
    <w:p w14:paraId="3B829C6E">
      <w:pPr>
        <w:spacing w:line="360" w:lineRule="exact"/>
        <w:ind w:firstLine="420"/>
        <w:rPr>
          <w:rFonts w:ascii="仿宋" w:hAnsi="仿宋" w:eastAsia="仿宋" w:cs="仿宋"/>
          <w:color w:val="auto"/>
          <w:sz w:val="24"/>
          <w:highlight w:val="none"/>
        </w:rPr>
      </w:pPr>
      <w:r>
        <w:rPr>
          <w:rFonts w:hint="eastAsia" w:ascii="仿宋" w:hAnsi="仿宋" w:eastAsia="仿宋" w:cs="仿宋"/>
          <w:color w:val="auto"/>
          <w:sz w:val="24"/>
          <w:highlight w:val="none"/>
        </w:rPr>
        <w:t>通用合同主要条款详见GF-2017-0201标准建筑工程施工合同范本，其中实质性条款不能改变。</w:t>
      </w:r>
    </w:p>
    <w:p w14:paraId="4F804149">
      <w:pPr>
        <w:spacing w:line="360" w:lineRule="exact"/>
        <w:ind w:firstLine="420"/>
        <w:rPr>
          <w:rFonts w:ascii="仿宋" w:hAnsi="仿宋" w:eastAsia="仿宋" w:cs="仿宋"/>
          <w:color w:val="auto"/>
          <w:sz w:val="24"/>
          <w:highlight w:val="none"/>
        </w:rPr>
      </w:pPr>
      <w:r>
        <w:rPr>
          <w:rFonts w:hint="eastAsia" w:ascii="仿宋" w:hAnsi="仿宋" w:eastAsia="仿宋" w:cs="仿宋"/>
          <w:color w:val="auto"/>
          <w:sz w:val="24"/>
          <w:highlight w:val="none"/>
        </w:rPr>
        <w:t>通用合同主要条款第12.1合同价格形式分为总价合同和单价合同。固定总价合同为合同双方以总价形式，约定合同范围内双方的工作内容、责任与义务的合同形式。固定单价合同为合同双方以工程量清单和综合单价的形式，约定合同范围内双方的工作内容、责任与义务的合同形式。</w:t>
      </w:r>
    </w:p>
    <w:p w14:paraId="02F95E12">
      <w:pPr>
        <w:pStyle w:val="8"/>
        <w:spacing w:line="360" w:lineRule="exact"/>
        <w:rPr>
          <w:rFonts w:ascii="仿宋" w:hAnsi="仿宋" w:eastAsia="仿宋" w:cs="仿宋"/>
          <w:color w:val="auto"/>
          <w:sz w:val="24"/>
          <w:szCs w:val="24"/>
          <w:highlight w:val="none"/>
        </w:rPr>
      </w:pPr>
    </w:p>
    <w:p w14:paraId="72F7FE51">
      <w:pPr>
        <w:keepNext/>
        <w:keepLines/>
        <w:spacing w:before="100" w:after="100" w:line="360" w:lineRule="exact"/>
        <w:jc w:val="center"/>
        <w:rPr>
          <w:rFonts w:ascii="仿宋" w:hAnsi="仿宋" w:eastAsia="仿宋" w:cs="仿宋"/>
          <w:b/>
          <w:bCs/>
          <w:color w:val="auto"/>
          <w:sz w:val="24"/>
          <w:highlight w:val="none"/>
        </w:rPr>
      </w:pPr>
      <w:bookmarkStart w:id="795" w:name="_Toc19161"/>
      <w:bookmarkStart w:id="796" w:name="_Toc484453864"/>
      <w:bookmarkStart w:id="797" w:name="_Toc12311"/>
      <w:bookmarkStart w:id="798" w:name="_Toc511035932"/>
      <w:bookmarkStart w:id="799" w:name="_Toc1261"/>
      <w:bookmarkStart w:id="800" w:name="_Toc14720"/>
      <w:r>
        <w:rPr>
          <w:rFonts w:hint="eastAsia" w:ascii="仿宋" w:hAnsi="仿宋" w:eastAsia="仿宋" w:cs="仿宋"/>
          <w:b/>
          <w:bCs/>
          <w:color w:val="auto"/>
          <w:sz w:val="24"/>
          <w:highlight w:val="none"/>
        </w:rPr>
        <w:t>三、专用条款</w:t>
      </w:r>
      <w:bookmarkEnd w:id="795"/>
      <w:bookmarkEnd w:id="796"/>
      <w:bookmarkEnd w:id="797"/>
      <w:bookmarkEnd w:id="798"/>
      <w:bookmarkEnd w:id="799"/>
      <w:bookmarkEnd w:id="800"/>
    </w:p>
    <w:p w14:paraId="6E9CFE02">
      <w:pPr>
        <w:tabs>
          <w:tab w:val="left" w:pos="2376"/>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一般约定</w:t>
      </w:r>
      <w:r>
        <w:rPr>
          <w:rFonts w:hint="eastAsia" w:ascii="仿宋" w:hAnsi="仿宋" w:eastAsia="仿宋" w:cs="仿宋"/>
          <w:color w:val="auto"/>
          <w:sz w:val="24"/>
          <w:highlight w:val="none"/>
        </w:rPr>
        <w:tab/>
      </w:r>
    </w:p>
    <w:p w14:paraId="2C0D2B09">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 词语定义</w:t>
      </w:r>
    </w:p>
    <w:p w14:paraId="37589FE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1.1.1合同</w:t>
      </w:r>
    </w:p>
    <w:p w14:paraId="39BFF86D">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1.1.1.1 其他合同文件包括：</w:t>
      </w:r>
      <w:r>
        <w:rPr>
          <w:rFonts w:hint="eastAsia" w:ascii="仿宋" w:hAnsi="仿宋" w:eastAsia="仿宋" w:cs="仿宋"/>
          <w:color w:val="auto"/>
          <w:kern w:val="1"/>
          <w:sz w:val="24"/>
          <w:highlight w:val="none"/>
          <w:u w:val="single"/>
        </w:rPr>
        <w:t>（1）本合同协议书及承诺书；（2）中标通知书；（3） 投标书及其附件；（4）本合同专用条款；（5）本合同通用条款；（6）标准、规范及有关技术资料；（7）图纸；（8）工程量清单；（9）工程报价单或预算书。</w:t>
      </w:r>
      <w:r>
        <w:rPr>
          <w:rFonts w:hint="eastAsia" w:ascii="仿宋" w:hAnsi="仿宋" w:eastAsia="仿宋" w:cs="仿宋"/>
          <w:color w:val="auto"/>
          <w:sz w:val="24"/>
          <w:highlight w:val="none"/>
        </w:rPr>
        <w:t xml:space="preserve">     </w:t>
      </w:r>
    </w:p>
    <w:p w14:paraId="66C9B11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 合同当事人及其他相关方</w:t>
      </w:r>
    </w:p>
    <w:p w14:paraId="3C1F1B73">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1.1.2.1监理人：</w:t>
      </w:r>
    </w:p>
    <w:p w14:paraId="08DD49B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名    称：</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26374D5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资质类别和等级：</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6F6AB5A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F7A0AF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54688F0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6F3A03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1.1.2.2 设计人：</w:t>
      </w:r>
    </w:p>
    <w:p w14:paraId="25A4DD4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名    称：</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7BCDF54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资质类别和等级：</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5B6DAD5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2C4A5403">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C73C21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6A28CFE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1.1.3 工程和设备</w:t>
      </w:r>
    </w:p>
    <w:p w14:paraId="70D25A8B">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1.1.3.1 作为施工现场组成部分的其他场所包括：</w:t>
      </w:r>
      <w:r>
        <w:rPr>
          <w:rFonts w:hint="eastAsia" w:ascii="仿宋" w:hAnsi="仿宋" w:eastAsia="仿宋" w:cs="仿宋"/>
          <w:color w:val="auto"/>
          <w:kern w:val="1"/>
          <w:sz w:val="24"/>
          <w:highlight w:val="none"/>
          <w:u w:val="single"/>
        </w:rPr>
        <w:t xml:space="preserve">           </w:t>
      </w:r>
    </w:p>
    <w:p w14:paraId="5FF915F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D6BC99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1.1.3.2 永久占地包括：</w:t>
      </w:r>
      <w:r>
        <w:rPr>
          <w:rFonts w:hint="eastAsia" w:ascii="仿宋" w:hAnsi="仿宋" w:eastAsia="仿宋" w:cs="仿宋"/>
          <w:color w:val="auto"/>
          <w:kern w:val="1"/>
          <w:sz w:val="24"/>
          <w:highlight w:val="none"/>
          <w:u w:val="single"/>
        </w:rPr>
        <w:t xml:space="preserve">                        </w:t>
      </w:r>
      <w:r>
        <w:rPr>
          <w:rFonts w:hint="eastAsia" w:ascii="仿宋" w:hAnsi="仿宋" w:eastAsia="仿宋" w:cs="仿宋"/>
          <w:color w:val="auto"/>
          <w:kern w:val="1"/>
          <w:sz w:val="24"/>
          <w:highlight w:val="none"/>
        </w:rPr>
        <w:t>。</w:t>
      </w:r>
    </w:p>
    <w:p w14:paraId="3E273A6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1.1.3.3 临时占地包括：</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10796B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1.3法律 </w:t>
      </w:r>
    </w:p>
    <w:p w14:paraId="356F14D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适用于合同的其他规范性文件：</w:t>
      </w:r>
      <w:r>
        <w:rPr>
          <w:rFonts w:hint="eastAsia" w:ascii="仿宋" w:hAnsi="仿宋" w:eastAsia="仿宋" w:cs="仿宋"/>
          <w:color w:val="auto"/>
          <w:kern w:val="1"/>
          <w:sz w:val="24"/>
          <w:highlight w:val="none"/>
          <w:u w:val="single"/>
        </w:rPr>
        <w:t xml:space="preserve">《中华人民共和国建筑法》《中华人民共和国民法典》《建设工程质量管理条例》（国务院第279号令）、《安徽省工程建设管理条例》《安徽省建筑市场管理条例》《建设工程清单计价规范（GB50500－2013）》以及国家、地方、省、市现行相关法律法规、条例及规定。 </w:t>
      </w:r>
    </w:p>
    <w:p w14:paraId="3411028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 标准和规范</w:t>
      </w:r>
    </w:p>
    <w:p w14:paraId="37AB847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1.4.1适用于工程的标准规范包括：</w:t>
      </w:r>
      <w:r>
        <w:rPr>
          <w:rFonts w:hint="eastAsia" w:ascii="仿宋" w:hAnsi="仿宋" w:eastAsia="仿宋" w:cs="仿宋"/>
          <w:color w:val="auto"/>
          <w:kern w:val="1"/>
          <w:sz w:val="24"/>
          <w:highlight w:val="none"/>
          <w:u w:val="single"/>
        </w:rPr>
        <w:t xml:space="preserve">现行国家、行业及安徽省、淮南市适用于本工程的施工规范、验收规范和技术标准、质量评定标准。若不同标准和规范之间要求不一致的，以较高、较严的标准为优先。相关标准和规范的获得由施工单位自己解决，产生的费用由施工单位承担。  </w:t>
      </w:r>
    </w:p>
    <w:p w14:paraId="488D19E1">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1.4.2 发包人提供国外标准、规范的名称：</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不提供</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389370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发包人提供国外标准、规范的份数：</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396739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发包人提供国外标准、规范的名称：</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0E2A17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1.4.3发包人对工程的技术标准和功能要求的特殊要求：</w:t>
      </w:r>
      <w:r>
        <w:rPr>
          <w:rFonts w:hint="eastAsia" w:ascii="仿宋" w:hAnsi="仿宋" w:eastAsia="仿宋" w:cs="仿宋"/>
          <w:color w:val="auto"/>
          <w:kern w:val="1"/>
          <w:sz w:val="24"/>
          <w:highlight w:val="none"/>
          <w:u w:val="single"/>
        </w:rPr>
        <w:t>     无      </w:t>
      </w:r>
      <w:r>
        <w:rPr>
          <w:rFonts w:hint="eastAsia" w:ascii="仿宋" w:hAnsi="仿宋" w:eastAsia="仿宋" w:cs="仿宋"/>
          <w:color w:val="auto"/>
          <w:kern w:val="1"/>
          <w:sz w:val="24"/>
          <w:highlight w:val="none"/>
        </w:rPr>
        <w:t>。</w:t>
      </w:r>
    </w:p>
    <w:p w14:paraId="1DEBBFB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 合同文件的优先顺序</w:t>
      </w:r>
    </w:p>
    <w:p w14:paraId="0D512B6F">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合同文件组成及优先顺序为：</w:t>
      </w:r>
      <w:r>
        <w:rPr>
          <w:rFonts w:hint="eastAsia" w:ascii="仿宋" w:hAnsi="仿宋" w:eastAsia="仿宋" w:cs="仿宋"/>
          <w:color w:val="auto"/>
          <w:kern w:val="1"/>
          <w:sz w:val="24"/>
          <w:highlight w:val="none"/>
          <w:u w:val="single"/>
        </w:rPr>
        <w:t>（1）补充协议（2）合同协议书；（3）中标通知书；（4） 投标函及其附录；（5）合同专用条款及其附件；（6）合同通用条款；（7）技术标准、规范及有关技术资料、要求；（8）图纸；（9）采购文件、工程量清单、答疑、响应文件等；（10）已标价工程量清单；（11）合同履行过程中经发包人书面确认的会议纪要、往来函件、会议记录、工程联系单、签证、设计变更等文件，并根据其性质确定优先解释顺序。</w:t>
      </w:r>
      <w:r>
        <w:rPr>
          <w:rFonts w:hint="eastAsia" w:ascii="仿宋" w:hAnsi="仿宋" w:eastAsia="仿宋" w:cs="仿宋"/>
          <w:color w:val="auto"/>
          <w:sz w:val="24"/>
          <w:highlight w:val="none"/>
        </w:rPr>
        <w:t xml:space="preserve"> </w:t>
      </w:r>
    </w:p>
    <w:p w14:paraId="4F040F7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 图纸和承包人文件</w:t>
      </w:r>
      <w:r>
        <w:rPr>
          <w:rFonts w:hint="eastAsia" w:ascii="仿宋" w:hAnsi="仿宋" w:eastAsia="仿宋" w:cs="仿宋"/>
          <w:color w:val="auto"/>
          <w:sz w:val="24"/>
          <w:highlight w:val="none"/>
        </w:rPr>
        <w:tab/>
      </w:r>
    </w:p>
    <w:p w14:paraId="0CDBD89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 图纸的提供</w:t>
      </w:r>
    </w:p>
    <w:p w14:paraId="0581250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发包人向承包人提供图纸的期限：</w:t>
      </w:r>
      <w:r>
        <w:rPr>
          <w:rFonts w:hint="eastAsia" w:ascii="仿宋" w:hAnsi="仿宋" w:eastAsia="仿宋" w:cs="仿宋"/>
          <w:color w:val="auto"/>
          <w:kern w:val="1"/>
          <w:sz w:val="24"/>
          <w:highlight w:val="none"/>
          <w:u w:val="single"/>
        </w:rPr>
        <w:t xml:space="preserve">工程开工前 </w:t>
      </w:r>
      <w:r>
        <w:rPr>
          <w:rFonts w:hint="eastAsia" w:ascii="仿宋" w:hAnsi="仿宋" w:eastAsia="仿宋" w:cs="仿宋"/>
          <w:b/>
          <w:bCs/>
          <w:color w:val="auto"/>
          <w:kern w:val="1"/>
          <w:sz w:val="24"/>
          <w:highlight w:val="none"/>
          <w:u w:val="single"/>
        </w:rPr>
        <w:t xml:space="preserve"> 7</w:t>
      </w:r>
      <w:r>
        <w:rPr>
          <w:rFonts w:hint="eastAsia" w:ascii="仿宋" w:hAnsi="仿宋" w:eastAsia="仿宋" w:cs="仿宋"/>
          <w:color w:val="auto"/>
          <w:kern w:val="1"/>
          <w:sz w:val="24"/>
          <w:highlight w:val="none"/>
          <w:u w:val="single"/>
        </w:rPr>
        <w:t>天</w:t>
      </w:r>
      <w:r>
        <w:rPr>
          <w:rFonts w:hint="eastAsia" w:ascii="仿宋" w:hAnsi="仿宋" w:eastAsia="仿宋" w:cs="仿宋"/>
          <w:color w:val="auto"/>
          <w:kern w:val="1"/>
          <w:sz w:val="24"/>
          <w:highlight w:val="none"/>
        </w:rPr>
        <w:t>；</w:t>
      </w:r>
    </w:p>
    <w:p w14:paraId="7C952A9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发包人向承包人提供图纸的数量：</w:t>
      </w:r>
      <w:r>
        <w:rPr>
          <w:rFonts w:hint="eastAsia" w:ascii="仿宋" w:hAnsi="仿宋" w:eastAsia="仿宋" w:cs="仿宋"/>
          <w:color w:val="auto"/>
          <w:kern w:val="1"/>
          <w:sz w:val="24"/>
          <w:highlight w:val="none"/>
          <w:u w:val="single"/>
        </w:rPr>
        <w:t>1套 ，</w:t>
      </w:r>
      <w:r>
        <w:rPr>
          <w:rFonts w:hint="eastAsia" w:ascii="仿宋" w:hAnsi="仿宋" w:eastAsia="仿宋" w:cs="仿宋"/>
          <w:b/>
          <w:color w:val="auto"/>
          <w:sz w:val="24"/>
          <w:highlight w:val="none"/>
          <w:u w:val="single"/>
        </w:rPr>
        <w:t>不足的由承包人自行复制，费用自理</w:t>
      </w:r>
      <w:r>
        <w:rPr>
          <w:rFonts w:hint="eastAsia" w:ascii="仿宋" w:hAnsi="仿宋" w:eastAsia="仿宋" w:cs="仿宋"/>
          <w:color w:val="auto"/>
          <w:kern w:val="1"/>
          <w:sz w:val="24"/>
          <w:highlight w:val="none"/>
          <w:u w:val="single"/>
        </w:rPr>
        <w:t>；</w:t>
      </w:r>
      <w:r>
        <w:rPr>
          <w:rFonts w:hint="eastAsia" w:ascii="仿宋" w:hAnsi="仿宋" w:eastAsia="仿宋" w:cs="仿宋"/>
          <w:b/>
          <w:bCs/>
          <w:color w:val="auto"/>
          <w:kern w:val="1"/>
          <w:sz w:val="24"/>
          <w:highlight w:val="none"/>
          <w:u w:val="single"/>
        </w:rPr>
        <w:t>工</w:t>
      </w:r>
      <w:r>
        <w:rPr>
          <w:rFonts w:hint="eastAsia" w:ascii="仿宋" w:hAnsi="仿宋" w:eastAsia="仿宋" w:cs="仿宋"/>
          <w:b/>
          <w:color w:val="auto"/>
          <w:sz w:val="24"/>
          <w:highlight w:val="none"/>
          <w:u w:val="single" w:color="000000"/>
        </w:rPr>
        <w:t>程竣工验收合格后全部图纸原件归还发包人。</w:t>
      </w:r>
    </w:p>
    <w:p w14:paraId="560D25B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发包人向承包人提供图纸的内容：</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u w:val="single" w:color="000000"/>
        </w:rPr>
        <w:t>全部施工图纸、技术参数等，包括有设计单位出图章的纸质版和 CAD 电子版</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w:t>
      </w:r>
    </w:p>
    <w:p w14:paraId="6A990FF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 承包人文件</w:t>
      </w:r>
    </w:p>
    <w:p w14:paraId="64FC77A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需要由承包人提供的文件，包括：</w:t>
      </w:r>
      <w:r>
        <w:rPr>
          <w:rFonts w:hint="eastAsia" w:ascii="仿宋" w:hAnsi="仿宋" w:eastAsia="仿宋" w:cs="仿宋"/>
          <w:b/>
          <w:color w:val="auto"/>
          <w:sz w:val="24"/>
          <w:highlight w:val="none"/>
          <w:u w:val="single" w:color="000000"/>
        </w:rPr>
        <w:t>施工组织设计、专项施工方案、施工安全技术措施、必要的施工图深化设计、必要的加工图和大样图、施工进度计划、劳动力和材料、机械投入计划、竣工资料、竣工图。其他国家和省市建设行政主管部门规定应由发包人、监理单位提供的文件由各方单位负责起草整理</w:t>
      </w:r>
      <w:r>
        <w:rPr>
          <w:rFonts w:hint="eastAsia" w:ascii="仿宋" w:hAnsi="仿宋" w:eastAsia="仿宋" w:cs="仿宋"/>
          <w:color w:val="auto"/>
          <w:kern w:val="1"/>
          <w:sz w:val="24"/>
          <w:highlight w:val="none"/>
        </w:rPr>
        <w:t>；</w:t>
      </w:r>
    </w:p>
    <w:p w14:paraId="3B5D6940">
      <w:pPr>
        <w:autoSpaceDE w:val="0"/>
        <w:autoSpaceDN w:val="0"/>
        <w:spacing w:line="360" w:lineRule="exact"/>
        <w:ind w:firstLine="480" w:firstLineChars="200"/>
        <w:rPr>
          <w:rFonts w:ascii="仿宋" w:hAnsi="仿宋" w:eastAsia="仿宋" w:cs="仿宋"/>
          <w:b/>
          <w:color w:val="auto"/>
          <w:sz w:val="24"/>
          <w:highlight w:val="none"/>
          <w:u w:val="single"/>
        </w:rPr>
      </w:pPr>
      <w:r>
        <w:rPr>
          <w:rFonts w:hint="eastAsia" w:ascii="仿宋" w:hAnsi="仿宋" w:eastAsia="仿宋" w:cs="仿宋"/>
          <w:color w:val="auto"/>
          <w:kern w:val="1"/>
          <w:sz w:val="24"/>
          <w:highlight w:val="none"/>
        </w:rPr>
        <w:t>承包人提供的文件的期限为：</w:t>
      </w:r>
      <w:r>
        <w:rPr>
          <w:rFonts w:hint="eastAsia" w:ascii="仿宋" w:hAnsi="仿宋" w:eastAsia="仿宋" w:cs="仿宋"/>
          <w:b/>
          <w:color w:val="auto"/>
          <w:sz w:val="24"/>
          <w:highlight w:val="none"/>
        </w:rPr>
        <w:t>施</w:t>
      </w:r>
      <w:r>
        <w:rPr>
          <w:rFonts w:hint="eastAsia" w:ascii="仿宋" w:hAnsi="仿宋" w:eastAsia="仿宋" w:cs="仿宋"/>
          <w:b/>
          <w:color w:val="auto"/>
          <w:sz w:val="24"/>
          <w:highlight w:val="none"/>
          <w:u w:val="single"/>
        </w:rPr>
        <w:t>工组织设计或施工安全技术措施等资料必须在开工前 7 天提供给监理人，监理人在 3 天内审核完毕报发包人，监理人对承包人文件有异议的，承包人应予以修改后重新报送；承包人未按照本条约定提供施工组织设计或施工安全技术措施等资料的，每逾期一天向发包人承担违约金人民币</w:t>
      </w:r>
      <w:r>
        <w:rPr>
          <w:rFonts w:hint="eastAsia" w:ascii="仿宋" w:hAnsi="仿宋" w:eastAsia="仿宋" w:cs="仿宋"/>
          <w:b/>
          <w:color w:val="auto"/>
          <w:sz w:val="24"/>
          <w:highlight w:val="none"/>
          <w:u w:val="single"/>
          <w:lang w:val="en-US" w:eastAsia="zh-CN"/>
        </w:rPr>
        <w:t>贰仟</w:t>
      </w:r>
      <w:r>
        <w:rPr>
          <w:rFonts w:hint="eastAsia" w:ascii="仿宋" w:hAnsi="仿宋" w:eastAsia="仿宋" w:cs="仿宋"/>
          <w:b/>
          <w:color w:val="auto"/>
          <w:sz w:val="24"/>
          <w:highlight w:val="none"/>
          <w:u w:val="single"/>
        </w:rPr>
        <w:t>元（</w:t>
      </w:r>
      <w:r>
        <w:rPr>
          <w:rFonts w:hint="eastAsia" w:ascii="仿宋" w:hAnsi="仿宋" w:eastAsia="仿宋" w:cs="仿宋"/>
          <w:b/>
          <w:color w:val="auto"/>
          <w:sz w:val="24"/>
          <w:highlight w:val="none"/>
          <w:u w:val="single"/>
          <w:lang w:val="en-US" w:eastAsia="zh-CN"/>
        </w:rPr>
        <w:t>2000</w:t>
      </w:r>
      <w:r>
        <w:rPr>
          <w:rFonts w:hint="eastAsia" w:ascii="仿宋" w:hAnsi="仿宋" w:eastAsia="仿宋" w:cs="仿宋"/>
          <w:b/>
          <w:color w:val="auto"/>
          <w:sz w:val="24"/>
          <w:highlight w:val="none"/>
          <w:u w:val="single"/>
        </w:rPr>
        <w:t>元）。</w:t>
      </w:r>
    </w:p>
    <w:p w14:paraId="7014595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承包人提供的文件的数量为：</w:t>
      </w:r>
      <w:r>
        <w:rPr>
          <w:rFonts w:hint="eastAsia" w:ascii="仿宋" w:hAnsi="仿宋" w:eastAsia="仿宋" w:cs="仿宋"/>
          <w:b/>
          <w:color w:val="auto"/>
          <w:sz w:val="24"/>
          <w:highlight w:val="none"/>
          <w:u w:val="single" w:color="000000"/>
        </w:rPr>
        <w:t>书面文件（六套）及电子版（两套）</w:t>
      </w:r>
      <w:r>
        <w:rPr>
          <w:rFonts w:hint="eastAsia" w:ascii="仿宋" w:hAnsi="仿宋" w:eastAsia="仿宋" w:cs="仿宋"/>
          <w:color w:val="auto"/>
          <w:kern w:val="1"/>
          <w:sz w:val="24"/>
          <w:highlight w:val="none"/>
        </w:rPr>
        <w:t>；</w:t>
      </w:r>
    </w:p>
    <w:p w14:paraId="03B92A7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承包人提供的文件的形式为：</w:t>
      </w:r>
      <w:r>
        <w:rPr>
          <w:rFonts w:hint="eastAsia" w:ascii="仿宋" w:hAnsi="仿宋" w:eastAsia="仿宋" w:cs="仿宋"/>
          <w:b/>
          <w:color w:val="auto"/>
          <w:sz w:val="24"/>
          <w:highlight w:val="none"/>
          <w:u w:val="single" w:color="000000"/>
        </w:rPr>
        <w:t>书面形式，包括由承包人盖章、签字的纸质和相应电子版</w:t>
      </w:r>
      <w:r>
        <w:rPr>
          <w:rFonts w:hint="eastAsia" w:ascii="仿宋" w:hAnsi="仿宋" w:eastAsia="仿宋" w:cs="仿宋"/>
          <w:color w:val="auto"/>
          <w:sz w:val="24"/>
          <w:highlight w:val="none"/>
        </w:rPr>
        <w:t>；</w:t>
      </w:r>
    </w:p>
    <w:p w14:paraId="04711940">
      <w:pPr>
        <w:autoSpaceDE w:val="0"/>
        <w:autoSpaceDN w:val="0"/>
        <w:spacing w:line="360" w:lineRule="exact"/>
        <w:ind w:firstLine="480" w:firstLineChars="200"/>
        <w:rPr>
          <w:rFonts w:ascii="仿宋" w:hAnsi="仿宋" w:eastAsia="仿宋" w:cs="仿宋"/>
          <w:b/>
          <w:color w:val="auto"/>
          <w:sz w:val="24"/>
          <w:highlight w:val="none"/>
          <w:u w:val="single" w:color="000000"/>
        </w:rPr>
      </w:pPr>
      <w:r>
        <w:rPr>
          <w:rFonts w:hint="eastAsia" w:ascii="仿宋" w:hAnsi="仿宋" w:eastAsia="仿宋" w:cs="仿宋"/>
          <w:color w:val="auto"/>
          <w:kern w:val="1"/>
          <w:sz w:val="24"/>
          <w:highlight w:val="none"/>
        </w:rPr>
        <w:t>发包人审批承包人文件的期限：</w:t>
      </w:r>
      <w:r>
        <w:rPr>
          <w:rFonts w:hint="eastAsia" w:ascii="仿宋" w:hAnsi="仿宋" w:eastAsia="仿宋" w:cs="仿宋"/>
          <w:b/>
          <w:color w:val="auto"/>
          <w:sz w:val="24"/>
          <w:highlight w:val="none"/>
          <w:u w:val="single" w:color="000000"/>
        </w:rPr>
        <w:t>收到监理人审查合格的承包人所提交完整、合格的文件之日起7天内审批完毕，发包人对文件有异议的，通知监理人要求承包人进行修改后重新报批或直接通知承包人修改后重新报批。</w:t>
      </w:r>
    </w:p>
    <w:p w14:paraId="6E0C1C5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1.6.3 现场图纸准备</w:t>
      </w:r>
    </w:p>
    <w:p w14:paraId="6A720EA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关于现场图纸准备的约定：</w:t>
      </w:r>
      <w:r>
        <w:rPr>
          <w:rFonts w:hint="eastAsia" w:ascii="仿宋" w:hAnsi="仿宋" w:eastAsia="仿宋" w:cs="仿宋"/>
          <w:b/>
          <w:color w:val="auto"/>
          <w:sz w:val="24"/>
          <w:highlight w:val="none"/>
          <w:u w:val="single" w:color="000000"/>
        </w:rPr>
        <w:t>承包人应在施工现场至少另外保存一套完整的图纸和承包人需提供文件，供发包人、监理人及有关人员进行工程检查时使用</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w:t>
      </w:r>
    </w:p>
    <w:p w14:paraId="302B9F6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 联络</w:t>
      </w:r>
    </w:p>
    <w:p w14:paraId="1084B6A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1.7.1发包人和承包人应当在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7</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天内将与合同有关的通知、批准、证明、证书、指示、指令、要求、请求、同意、意见、确定和决定等书面函件送达对方当事人。</w:t>
      </w:r>
    </w:p>
    <w:p w14:paraId="3B34F4B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1.7.2 发包人接收文件的地点：</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36BC80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发包人指定的接收人为：</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5B9E4E0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承包人接收文件的地点：</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67D1089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承包人指定的接收人为：</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1A8426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监理人接收文件的地点：</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E34CF3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监理人指定的接收人为：</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56E433A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1.10 交通运输</w:t>
      </w:r>
    </w:p>
    <w:p w14:paraId="6D15EDE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801" w:name="_Toc300934943"/>
      <w:bookmarkEnd w:id="801"/>
      <w:bookmarkStart w:id="802" w:name="_Toc303539100"/>
      <w:bookmarkEnd w:id="802"/>
      <w:bookmarkStart w:id="803" w:name="_Toc304295521"/>
      <w:bookmarkEnd w:id="803"/>
      <w:bookmarkStart w:id="804" w:name="_Toc318581155"/>
      <w:bookmarkEnd w:id="804"/>
      <w:bookmarkStart w:id="805" w:name="_Toc312677986"/>
      <w:bookmarkEnd w:id="805"/>
      <w:r>
        <w:rPr>
          <w:rFonts w:hint="eastAsia" w:ascii="仿宋" w:hAnsi="仿宋" w:eastAsia="仿宋" w:cs="仿宋"/>
          <w:color w:val="auto"/>
          <w:kern w:val="1"/>
          <w:sz w:val="24"/>
          <w:highlight w:val="none"/>
        </w:rPr>
        <w:t>.10.1 出入现场的权利</w:t>
      </w:r>
    </w:p>
    <w:p w14:paraId="04088C25">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关于出入现场的权利的约定：</w:t>
      </w:r>
      <w:r>
        <w:rPr>
          <w:rFonts w:hint="eastAsia" w:ascii="仿宋" w:hAnsi="仿宋" w:eastAsia="仿宋" w:cs="仿宋"/>
          <w:color w:val="auto"/>
          <w:kern w:val="1"/>
          <w:sz w:val="24"/>
          <w:highlight w:val="none"/>
          <w:u w:val="single"/>
        </w:rPr>
        <w:t>1）由承包人按发包人要求负责取得出入施工现场所需的批准手续和全部权利，以及取得因施工所需修建道路以及其他基础设施的权利，并承担相关手续费用和建设费用。2）所有进入施工场地的人员和机械由承包人</w:t>
      </w:r>
      <w:r>
        <w:rPr>
          <w:rFonts w:hint="eastAsia" w:ascii="仿宋" w:hAnsi="仿宋" w:eastAsia="仿宋" w:cs="仿宋"/>
          <w:b/>
          <w:color w:val="auto"/>
          <w:kern w:val="1"/>
          <w:sz w:val="24"/>
          <w:highlight w:val="none"/>
          <w:u w:val="single"/>
        </w:rPr>
        <w:t>自费</w:t>
      </w:r>
      <w:r>
        <w:rPr>
          <w:rFonts w:hint="eastAsia" w:ascii="仿宋" w:hAnsi="仿宋" w:eastAsia="仿宋" w:cs="仿宋"/>
          <w:color w:val="auto"/>
          <w:kern w:val="1"/>
          <w:sz w:val="24"/>
          <w:highlight w:val="none"/>
          <w:u w:val="single"/>
        </w:rPr>
        <w:t xml:space="preserve">负责，施工造成的人员伤亡等直接经济损失由承包人承担；3）所有出场车辆卫生管理必须服从相关行政执法局的有关规定，因此产生的费用由承包人自理 </w:t>
      </w:r>
      <w:r>
        <w:rPr>
          <w:rFonts w:hint="eastAsia" w:ascii="仿宋" w:hAnsi="仿宋" w:eastAsia="仿宋" w:cs="仿宋"/>
          <w:color w:val="auto"/>
          <w:kern w:val="1"/>
          <w:sz w:val="24"/>
          <w:highlight w:val="none"/>
        </w:rPr>
        <w:t>。</w:t>
      </w:r>
    </w:p>
    <w:p w14:paraId="7C9C731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806" w:name="_Toc303539101"/>
      <w:bookmarkEnd w:id="806"/>
      <w:bookmarkStart w:id="807" w:name="_Toc304295522"/>
      <w:bookmarkEnd w:id="807"/>
      <w:bookmarkStart w:id="808" w:name="_Toc312677987"/>
      <w:bookmarkEnd w:id="808"/>
      <w:bookmarkStart w:id="809" w:name="_Toc300934944"/>
      <w:bookmarkEnd w:id="809"/>
      <w:bookmarkStart w:id="810" w:name="_Toc318581156"/>
      <w:bookmarkEnd w:id="810"/>
      <w:r>
        <w:rPr>
          <w:rFonts w:hint="eastAsia" w:ascii="仿宋" w:hAnsi="仿宋" w:eastAsia="仿宋" w:cs="仿宋"/>
          <w:color w:val="auto"/>
          <w:kern w:val="1"/>
          <w:sz w:val="24"/>
          <w:highlight w:val="none"/>
        </w:rPr>
        <w:t>.10.3 场内交通</w:t>
      </w:r>
    </w:p>
    <w:p w14:paraId="3CF8CA1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关于场外交通和场内交通的边界的约定：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以发包人同意承包人设置的围栏或红线为准。承包人在投标前应充分踏勘现场，以现场条件为准，场内外道路均由承包人负责，费用包含在合同价款中</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4A2453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关于发包人向承包人免费提供满足工程施工需要的场内道路和交通设施的约定：</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u w:val="single" w:color="000000"/>
        </w:rPr>
        <w:t>承包人在投标前应充分踏勘现场，对发包人现有的场内道路及交通设施承包人可以合理利用，待功能丧失后，承包人根据发包人要求负责免费清除。其他道路及交通设施由承包人根据需要自行解决并承担相关费用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bookmarkStart w:id="811" w:name="_Toc318581157"/>
      <w:bookmarkEnd w:id="811"/>
    </w:p>
    <w:p w14:paraId="30479CB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1.10.4超大件和超重件的运输</w:t>
      </w:r>
    </w:p>
    <w:p w14:paraId="269220D6">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由承包人负责运输的超大件或超重件，应由承包人负责向交通管理部门办理申请手续，发包人给予协助。运输超大件或超重件所需的道路和桥梁临时加固改造费用和其他有关费用，由承包人承担。</w:t>
      </w:r>
    </w:p>
    <w:p w14:paraId="6366D8A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 知识产权</w:t>
      </w:r>
    </w:p>
    <w:p w14:paraId="11F3100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kern w:val="1"/>
          <w:sz w:val="24"/>
          <w:highlight w:val="none"/>
          <w:u w:val="single"/>
        </w:rPr>
        <w:t>归发包人所有</w:t>
      </w:r>
      <w:r>
        <w:rPr>
          <w:rFonts w:hint="eastAsia" w:ascii="仿宋" w:hAnsi="仿宋" w:eastAsia="仿宋" w:cs="仿宋"/>
          <w:color w:val="auto"/>
          <w:kern w:val="1"/>
          <w:sz w:val="24"/>
          <w:highlight w:val="none"/>
        </w:rPr>
        <w:t>。</w:t>
      </w:r>
    </w:p>
    <w:p w14:paraId="59C7A1A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关于发包人提供的上述文件的使用限制的要求：</w:t>
      </w:r>
      <w:r>
        <w:rPr>
          <w:rFonts w:hint="eastAsia" w:ascii="仿宋" w:hAnsi="仿宋" w:eastAsia="仿宋" w:cs="仿宋"/>
          <w:color w:val="auto"/>
          <w:kern w:val="1"/>
          <w:sz w:val="24"/>
          <w:highlight w:val="none"/>
          <w:u w:val="single"/>
        </w:rPr>
        <w:t xml:space="preserve">未经发包人书面同意，承包人不得为了合同以外的目的而复制、使用上述文件或将之提供给任何第三方。  </w:t>
      </w:r>
    </w:p>
    <w:p w14:paraId="4E8997C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1.11.2 关于承包人为实施工程所编制文件的著作权的归属：</w:t>
      </w:r>
      <w:r>
        <w:rPr>
          <w:rFonts w:hint="eastAsia" w:ascii="仿宋" w:hAnsi="仿宋" w:eastAsia="仿宋" w:cs="仿宋"/>
          <w:color w:val="auto"/>
          <w:kern w:val="1"/>
          <w:sz w:val="24"/>
          <w:highlight w:val="none"/>
          <w:u w:val="single"/>
        </w:rPr>
        <w:t xml:space="preserve"> 除署名权以外的著作权属于发包人。  </w:t>
      </w:r>
    </w:p>
    <w:p w14:paraId="13777B0F">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关于承包人提供的上述文件的使用限制的要求：</w:t>
      </w:r>
      <w:r>
        <w:rPr>
          <w:rFonts w:hint="eastAsia" w:ascii="仿宋" w:hAnsi="仿宋" w:eastAsia="仿宋" w:cs="仿宋"/>
          <w:color w:val="auto"/>
          <w:kern w:val="1"/>
          <w:sz w:val="24"/>
          <w:highlight w:val="none"/>
          <w:u w:val="single"/>
        </w:rPr>
        <w:t>未经发包人书面同意，承包人不得为了合同以外的目的而复制、使用上述文件或将之提供给任何第三方。</w:t>
      </w:r>
    </w:p>
    <w:p w14:paraId="49863AD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1.11.3 承包人在施工过程中所采用的专利、专有技术、技术秘密的使用费的承担方式：</w:t>
      </w:r>
      <w:r>
        <w:rPr>
          <w:rFonts w:hint="eastAsia" w:ascii="仿宋" w:hAnsi="仿宋" w:eastAsia="仿宋" w:cs="仿宋"/>
          <w:color w:val="auto"/>
          <w:kern w:val="1"/>
          <w:sz w:val="24"/>
          <w:highlight w:val="none"/>
          <w:u w:val="single"/>
        </w:rPr>
        <w:t xml:space="preserve">已包含在本合同价款中，由承包人承担。 </w:t>
      </w:r>
    </w:p>
    <w:p w14:paraId="213B5CE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1.13工程量清单错误的修正</w:t>
      </w:r>
    </w:p>
    <w:p w14:paraId="7A0A6F3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出现工程量清单错误时，是否调整合同价格：</w:t>
      </w:r>
      <w:r>
        <w:rPr>
          <w:rFonts w:hint="eastAsia" w:ascii="仿宋" w:hAnsi="仿宋" w:eastAsia="仿宋" w:cs="仿宋"/>
          <w:color w:val="auto"/>
          <w:kern w:val="1"/>
          <w:sz w:val="24"/>
          <w:highlight w:val="none"/>
          <w:u w:val="single"/>
        </w:rPr>
        <w:t xml:space="preserve">      否       </w:t>
      </w:r>
      <w:r>
        <w:rPr>
          <w:rFonts w:hint="eastAsia" w:ascii="仿宋" w:hAnsi="仿宋" w:eastAsia="仿宋" w:cs="仿宋"/>
          <w:color w:val="auto"/>
          <w:kern w:val="1"/>
          <w:sz w:val="24"/>
          <w:highlight w:val="none"/>
        </w:rPr>
        <w:t>。</w:t>
      </w:r>
    </w:p>
    <w:p w14:paraId="6CF6FC8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允许调整合同价格的工程量偏差范围：</w:t>
      </w:r>
      <w:r>
        <w:rPr>
          <w:rFonts w:hint="eastAsia" w:ascii="仿宋" w:hAnsi="仿宋" w:eastAsia="仿宋" w:cs="仿宋"/>
          <w:color w:val="auto"/>
          <w:kern w:val="1"/>
          <w:sz w:val="24"/>
          <w:highlight w:val="none"/>
          <w:u w:val="single"/>
        </w:rPr>
        <w:t xml:space="preserve">否      </w:t>
      </w:r>
      <w:r>
        <w:rPr>
          <w:rFonts w:hint="eastAsia" w:ascii="仿宋" w:hAnsi="仿宋" w:eastAsia="仿宋" w:cs="仿宋"/>
          <w:color w:val="auto"/>
          <w:kern w:val="1"/>
          <w:sz w:val="24"/>
          <w:highlight w:val="none"/>
        </w:rPr>
        <w:t>。</w:t>
      </w:r>
    </w:p>
    <w:p w14:paraId="7DE68438">
      <w:pPr>
        <w:autoSpaceDE w:val="0"/>
        <w:autoSpaceDN w:val="0"/>
        <w:spacing w:line="360" w:lineRule="exact"/>
        <w:ind w:firstLine="480" w:firstLineChars="200"/>
        <w:rPr>
          <w:rFonts w:ascii="仿宋" w:hAnsi="仿宋" w:eastAsia="仿宋" w:cs="仿宋"/>
          <w:color w:val="auto"/>
          <w:kern w:val="1"/>
          <w:sz w:val="24"/>
          <w:highlight w:val="none"/>
        </w:rPr>
      </w:pPr>
      <w:bookmarkStart w:id="812" w:name="_Toc351203634"/>
      <w:bookmarkEnd w:id="812"/>
      <w:r>
        <w:rPr>
          <w:rFonts w:hint="eastAsia" w:ascii="仿宋" w:hAnsi="仿宋" w:eastAsia="仿宋" w:cs="仿宋"/>
          <w:color w:val="auto"/>
          <w:kern w:val="1"/>
          <w:sz w:val="24"/>
          <w:highlight w:val="none"/>
        </w:rPr>
        <w:t>2</w:t>
      </w:r>
      <w:bookmarkStart w:id="813" w:name="_Toc296891197"/>
      <w:bookmarkEnd w:id="813"/>
      <w:bookmarkStart w:id="814" w:name="_Toc296944496"/>
      <w:bookmarkEnd w:id="814"/>
      <w:bookmarkStart w:id="815" w:name="_Toc297048343"/>
      <w:bookmarkEnd w:id="815"/>
      <w:bookmarkStart w:id="816" w:name="_Toc296346658"/>
      <w:bookmarkEnd w:id="816"/>
      <w:bookmarkStart w:id="817" w:name="_Toc292559362"/>
      <w:bookmarkEnd w:id="817"/>
      <w:bookmarkStart w:id="818" w:name="_Toc296503157"/>
      <w:bookmarkEnd w:id="818"/>
      <w:bookmarkStart w:id="819" w:name="_Toc292559867"/>
      <w:bookmarkEnd w:id="819"/>
      <w:bookmarkStart w:id="820" w:name="_Toc296890985"/>
      <w:bookmarkEnd w:id="820"/>
      <w:bookmarkStart w:id="821" w:name="_Toc297120457"/>
      <w:bookmarkEnd w:id="821"/>
      <w:bookmarkStart w:id="822" w:name="_Toc296347156"/>
      <w:bookmarkEnd w:id="822"/>
      <w:r>
        <w:rPr>
          <w:rFonts w:hint="eastAsia" w:ascii="仿宋" w:hAnsi="仿宋" w:eastAsia="仿宋" w:cs="仿宋"/>
          <w:color w:val="auto"/>
          <w:kern w:val="1"/>
          <w:sz w:val="24"/>
          <w:highlight w:val="none"/>
        </w:rPr>
        <w:t>. 发包人</w:t>
      </w:r>
    </w:p>
    <w:p w14:paraId="6273835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2.1 发包人代表</w:t>
      </w:r>
    </w:p>
    <w:p w14:paraId="516FCC8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发包人代表：</w:t>
      </w:r>
    </w:p>
    <w:p w14:paraId="39FA320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752F27F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身份证号：</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086BA0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职    务：</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1544C6A3">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32073522">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7BF64B1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9FCA317">
      <w:pPr>
        <w:autoSpaceDE w:val="0"/>
        <w:autoSpaceDN w:val="0"/>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rPr>
        <w:t>发包人对发包人代表的授权范围如下：</w:t>
      </w:r>
      <w:r>
        <w:rPr>
          <w:rFonts w:hint="eastAsia" w:ascii="仿宋" w:hAnsi="仿宋" w:eastAsia="仿宋" w:cs="仿宋"/>
          <w:b w:val="0"/>
          <w:bCs/>
          <w:color w:val="auto"/>
          <w:sz w:val="24"/>
          <w:highlight w:val="none"/>
          <w:u w:val="single"/>
        </w:rPr>
        <w:t>1、签收承包人向发包人送交的函件；检查、督促承包人履行工程质量、进度、安全文明施工等合同约定和法律规定的义务并提出意见和建议、指令；组织和（或）参加工程验收并签署意见；组织召开工程管理会议。2、施工组织设计审核、签发设计变更及工程联系单、签署停工决定、工程进度款支付证书、现场签证、工程竣工验收证书，但是涉及需要增加造价的现场签证，必须加盖发包人行政公章并经发包人项目负责人签名，方可作为结算增加造价的依据。3、经发包人代表签署确认的或与工程价款、工期相关的发包人文件或监理文件，须加盖发包人印章后方对发包人产生约束力，否则承包人无权以发包人代表签章为由向发包人提出任何主张。4、发包人代表可根据工作需要另行指定发包人其他人员代为履行相关职责并告知承包人。</w:t>
      </w:r>
      <w:r>
        <w:rPr>
          <w:rFonts w:hint="eastAsia" w:ascii="仿宋" w:hAnsi="仿宋" w:eastAsia="仿宋" w:cs="仿宋"/>
          <w:b w:val="0"/>
          <w:bCs/>
          <w:color w:val="auto"/>
          <w:kern w:val="1"/>
          <w:sz w:val="24"/>
          <w:highlight w:val="none"/>
          <w:u w:val="single"/>
        </w:rPr>
        <w:t xml:space="preserve">   </w:t>
      </w:r>
    </w:p>
    <w:p w14:paraId="1963850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 施工现场、施工条件和基础资料的提供</w:t>
      </w:r>
    </w:p>
    <w:p w14:paraId="381CE7B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2.2.1 提供施工现场</w:t>
      </w:r>
    </w:p>
    <w:p w14:paraId="2F488E4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关于发包人移交施工现场的期限要求：</w:t>
      </w:r>
      <w:r>
        <w:rPr>
          <w:rFonts w:hint="eastAsia" w:ascii="仿宋" w:hAnsi="仿宋" w:eastAsia="仿宋" w:cs="仿宋"/>
          <w:color w:val="auto"/>
          <w:kern w:val="1"/>
          <w:sz w:val="24"/>
          <w:highlight w:val="none"/>
          <w:u w:val="single"/>
        </w:rPr>
        <w:t>已经具备施工条件。</w:t>
      </w:r>
    </w:p>
    <w:p w14:paraId="53D3F93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2.2.2 提供施工条件</w:t>
      </w:r>
    </w:p>
    <w:p w14:paraId="0CD6B475">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关于发包人应负责提供施工所需要的条件，包括：</w:t>
      </w:r>
      <w:r>
        <w:rPr>
          <w:rFonts w:hint="eastAsia" w:ascii="仿宋" w:hAnsi="仿宋" w:eastAsia="仿宋" w:cs="仿宋"/>
          <w:b w:val="0"/>
          <w:bCs/>
          <w:color w:val="auto"/>
          <w:sz w:val="24"/>
          <w:highlight w:val="none"/>
          <w:u w:val="single"/>
        </w:rPr>
        <w:t>（1）施工用水、电力、通讯线路等由承包人自行负责解决，由承包人承担，费用包含在合同各项综合单价内。水、电要求单独装表计量，施工（生活）用水、用电费用由承包人承担；承包人应充分考虑停电因素，因停电而造成自发电费用、因停电造成的赶工等措施费用已包含在各项综合单价中，同时工期不得顺延。（2）临时道路及出入通道的修建及养护由承包人负责，工程完工前承包人应对因施工造成的原有道路、排水等设施的损坏进行修缮，恢复原有使用功能，施工中应保证现状道路的正常通行，在上述施工过程中出现任何外部协调问题（办理道路及人行道恢复、园林、绿化等）由承包人自行解决，费用自理。（3）发包人负责办理施工所需证件，承包人负责协助办理。</w:t>
      </w:r>
    </w:p>
    <w:p w14:paraId="003FE10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2.3 资金来源证明及支付担保</w:t>
      </w:r>
    </w:p>
    <w:p w14:paraId="697F5D2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发包人提供资金来源证明的期限要求：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8734C9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发包人是否提供支付担保：</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86C688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发包人提供支付担保的形式：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0BE6E6F1">
      <w:pPr>
        <w:autoSpaceDE w:val="0"/>
        <w:autoSpaceDN w:val="0"/>
        <w:spacing w:line="360" w:lineRule="exact"/>
        <w:ind w:firstLine="480" w:firstLineChars="200"/>
        <w:rPr>
          <w:rFonts w:ascii="仿宋" w:hAnsi="仿宋" w:eastAsia="仿宋" w:cs="仿宋"/>
          <w:color w:val="auto"/>
          <w:kern w:val="1"/>
          <w:sz w:val="24"/>
          <w:highlight w:val="none"/>
        </w:rPr>
      </w:pPr>
      <w:bookmarkStart w:id="823" w:name="_Toc351203635"/>
      <w:bookmarkEnd w:id="823"/>
      <w:r>
        <w:rPr>
          <w:rFonts w:hint="eastAsia" w:ascii="仿宋" w:hAnsi="仿宋" w:eastAsia="仿宋" w:cs="仿宋"/>
          <w:color w:val="auto"/>
          <w:kern w:val="1"/>
          <w:sz w:val="24"/>
          <w:highlight w:val="none"/>
        </w:rPr>
        <w:t>3</w:t>
      </w:r>
      <w:bookmarkStart w:id="824" w:name="_Toc296346659"/>
      <w:bookmarkEnd w:id="824"/>
      <w:bookmarkStart w:id="825" w:name="_Toc296503158"/>
      <w:bookmarkEnd w:id="825"/>
      <w:bookmarkStart w:id="826" w:name="_Toc296891198"/>
      <w:bookmarkEnd w:id="826"/>
      <w:bookmarkStart w:id="827" w:name="_Toc292559363"/>
      <w:bookmarkEnd w:id="827"/>
      <w:bookmarkStart w:id="828" w:name="_Toc292559868"/>
      <w:bookmarkEnd w:id="828"/>
      <w:bookmarkStart w:id="829" w:name="_Toc296347157"/>
      <w:bookmarkEnd w:id="829"/>
      <w:bookmarkStart w:id="830" w:name="_Toc296890986"/>
      <w:bookmarkEnd w:id="830"/>
      <w:bookmarkStart w:id="831" w:name="_Toc297120458"/>
      <w:bookmarkEnd w:id="831"/>
      <w:bookmarkStart w:id="832" w:name="_Toc296944497"/>
      <w:bookmarkEnd w:id="832"/>
      <w:bookmarkStart w:id="833" w:name="_Toc297048344"/>
      <w:bookmarkEnd w:id="833"/>
      <w:r>
        <w:rPr>
          <w:rFonts w:hint="eastAsia" w:ascii="仿宋" w:hAnsi="仿宋" w:eastAsia="仿宋" w:cs="仿宋"/>
          <w:color w:val="auto"/>
          <w:kern w:val="1"/>
          <w:sz w:val="24"/>
          <w:highlight w:val="none"/>
        </w:rPr>
        <w:t>. 承包人</w:t>
      </w:r>
    </w:p>
    <w:p w14:paraId="676D5A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3.1 承包人的一般义务</w:t>
      </w:r>
    </w:p>
    <w:p w14:paraId="6F42418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（1）承包人提交的竣工资料的内容：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承包人必须严格按照国家相关现行规定及发包人要求收集、整理、归档工程各环节的技术、管理、验收、竣工图等资料。工程竣工验收前 5 日向建设行政主管部门和当地城建档案馆各提交竣工验收所需资料，并获得通过。工程竣工验收合格后，10 日内向发包人提供完整的竣工图纸和相关资料 3 套，同时由承包人按规定的内容向当地城建档案馆移交 1 套，同时提供 1 套完整、规范、合格的电子版竣工资料。</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p>
    <w:p w14:paraId="3A9760F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承包人需要提交的竣工资料套数：</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提交 3 套完整、规范、合格的书面工程竣工资料及 1 套完整、规范、合格的电子版竣工资料。</w:t>
      </w:r>
    </w:p>
    <w:p w14:paraId="3526FC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承包人提交的竣工资料的费用承担：</w:t>
      </w:r>
      <w:r>
        <w:rPr>
          <w:rFonts w:hint="eastAsia" w:ascii="仿宋" w:hAnsi="仿宋" w:eastAsia="仿宋" w:cs="仿宋"/>
          <w:color w:val="auto"/>
          <w:kern w:val="1"/>
          <w:sz w:val="24"/>
          <w:highlight w:val="none"/>
          <w:u w:val="single"/>
        </w:rPr>
        <w:t xml:space="preserve">  由承包人承担     </w:t>
      </w:r>
      <w:r>
        <w:rPr>
          <w:rFonts w:hint="eastAsia" w:ascii="仿宋" w:hAnsi="仿宋" w:eastAsia="仿宋" w:cs="仿宋"/>
          <w:color w:val="auto"/>
          <w:kern w:val="1"/>
          <w:sz w:val="24"/>
          <w:highlight w:val="none"/>
        </w:rPr>
        <w:t>。</w:t>
      </w:r>
    </w:p>
    <w:p w14:paraId="100384E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承包人提交的竣工资料移交时间：</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工</w:t>
      </w:r>
      <w:r>
        <w:rPr>
          <w:rFonts w:hint="eastAsia" w:ascii="仿宋" w:hAnsi="仿宋" w:eastAsia="仿宋" w:cs="仿宋"/>
          <w:b/>
          <w:bCs/>
          <w:color w:val="auto"/>
          <w:sz w:val="24"/>
          <w:highlight w:val="none"/>
          <w:u w:val="single"/>
        </w:rPr>
        <w:t>程竣工验收后</w:t>
      </w:r>
      <w:r>
        <w:rPr>
          <w:rFonts w:hint="eastAsia" w:ascii="仿宋" w:hAnsi="仿宋" w:eastAsia="仿宋" w:cs="仿宋"/>
          <w:b/>
          <w:color w:val="auto"/>
          <w:sz w:val="24"/>
          <w:highlight w:val="none"/>
          <w:u w:val="single"/>
        </w:rPr>
        <w:t>10 日内</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CF2FF3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承包人提交的竣工资料形式要求：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书面形式（均为原件）和电子文档资料</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429D756">
      <w:pPr>
        <w:autoSpaceDE w:val="0"/>
        <w:autoSpaceDN w:val="0"/>
        <w:spacing w:line="360" w:lineRule="exact"/>
        <w:ind w:firstLine="482" w:firstLineChars="200"/>
        <w:rPr>
          <w:rFonts w:ascii="仿宋" w:hAnsi="仿宋" w:eastAsia="仿宋" w:cs="仿宋"/>
          <w:color w:val="auto"/>
          <w:sz w:val="24"/>
          <w:highlight w:val="none"/>
          <w:u w:val="single"/>
        </w:rPr>
      </w:pPr>
      <w:r>
        <w:rPr>
          <w:rFonts w:hint="eastAsia" w:ascii="仿宋" w:hAnsi="仿宋" w:eastAsia="仿宋" w:cs="仿宋"/>
          <w:b/>
          <w:bCs/>
          <w:color w:val="auto"/>
          <w:kern w:val="1"/>
          <w:sz w:val="24"/>
          <w:highlight w:val="none"/>
        </w:rPr>
        <w:t>项目档案要求</w:t>
      </w:r>
      <w:r>
        <w:rPr>
          <w:rFonts w:hint="eastAsia" w:ascii="仿宋" w:hAnsi="仿宋" w:eastAsia="仿宋" w:cs="仿宋"/>
          <w:color w:val="auto"/>
          <w:kern w:val="1"/>
          <w:sz w:val="24"/>
          <w:highlight w:val="none"/>
        </w:rPr>
        <w:t>：①</w:t>
      </w:r>
      <w:r>
        <w:rPr>
          <w:rFonts w:hint="eastAsia" w:ascii="仿宋" w:hAnsi="仿宋" w:eastAsia="仿宋" w:cs="仿宋"/>
          <w:color w:val="auto"/>
          <w:sz w:val="24"/>
          <w:highlight w:val="none"/>
          <w:u w:val="single"/>
        </w:rPr>
        <w:t>承包人必须严格按照国家规定及发包人要求收集、整理、归档工程各环节的技术、管理资料。工程竣工后应向</w:t>
      </w:r>
      <w:r>
        <w:rPr>
          <w:rFonts w:hint="eastAsia" w:ascii="仿宋" w:hAnsi="仿宋" w:eastAsia="仿宋" w:cs="仿宋"/>
          <w:color w:val="auto"/>
          <w:sz w:val="24"/>
          <w:highlight w:val="none"/>
          <w:u w:val="single"/>
          <w:lang w:eastAsia="zh-CN"/>
        </w:rPr>
        <w:t>发包人</w:t>
      </w:r>
      <w:r>
        <w:rPr>
          <w:rFonts w:hint="eastAsia" w:ascii="仿宋" w:hAnsi="仿宋" w:eastAsia="仿宋" w:cs="仿宋"/>
          <w:color w:val="auto"/>
          <w:sz w:val="24"/>
          <w:highlight w:val="none"/>
          <w:u w:val="single"/>
        </w:rPr>
        <w:t>提交 3 套完整、规范、合格的书面工程竣工资料及 3 套完整、规范、合格的电子版竣工资料（其中双方业主各 1 套，项目所在地城建档案馆 1 套）。承包人工程竣工资料不齐全、不规范，并在规定时间内仍未整改完善按时提交的，将向发包人按合同约定承担的违约金，</w:t>
      </w:r>
      <w:r>
        <w:rPr>
          <w:rFonts w:hint="eastAsia" w:ascii="仿宋" w:hAnsi="仿宋" w:eastAsia="仿宋" w:cs="仿宋"/>
          <w:b/>
          <w:color w:val="auto"/>
          <w:sz w:val="24"/>
          <w:highlight w:val="none"/>
          <w:u w:val="single"/>
        </w:rPr>
        <w:t>每逾期一天，向发包人承担违约金人民币贰仟元，</w:t>
      </w:r>
      <w:r>
        <w:rPr>
          <w:rFonts w:hint="eastAsia" w:ascii="仿宋" w:hAnsi="仿宋" w:eastAsia="仿宋" w:cs="仿宋"/>
          <w:color w:val="auto"/>
          <w:sz w:val="24"/>
          <w:highlight w:val="none"/>
          <w:u w:val="single"/>
        </w:rPr>
        <w:t>并将承担因此而造成的一切后果。</w:t>
      </w:r>
    </w:p>
    <w:p w14:paraId="50FAC472">
      <w:pPr>
        <w:autoSpaceDE w:val="0"/>
        <w:autoSpaceDN w:val="0"/>
        <w:spacing w:line="36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②</w:t>
      </w:r>
      <w:r>
        <w:rPr>
          <w:rFonts w:hint="eastAsia" w:ascii="仿宋" w:hAnsi="仿宋" w:eastAsia="仿宋" w:cs="仿宋"/>
          <w:color w:val="auto"/>
          <w:sz w:val="24"/>
          <w:highlight w:val="none"/>
          <w:u w:val="single"/>
        </w:rPr>
        <w:t>整个项目各方主体的项目资料需要满足《淮南市城市建设档案管理条例》《建设工程文件归档规范》（GB/T 50328-2014）、《淮南市城建档案馆建设工程档案接收规定》（城档字【2019】16 号）等要求。协助发包人收集并整理项目准备阶段文件、监理文件、施工文件、竣工验收文件、竣工图及声像资料等。跟进项目其他各方主体完善项目归档资料。其费用包含在</w:t>
      </w:r>
      <w:r>
        <w:rPr>
          <w:rFonts w:hint="eastAsia" w:ascii="仿宋" w:hAnsi="仿宋" w:eastAsia="仿宋" w:cs="仿宋"/>
          <w:color w:val="auto"/>
          <w:sz w:val="24"/>
          <w:highlight w:val="none"/>
          <w:u w:val="single"/>
          <w:lang w:eastAsia="zh-CN"/>
        </w:rPr>
        <w:t>承包人</w:t>
      </w:r>
      <w:r>
        <w:rPr>
          <w:rFonts w:hint="eastAsia" w:ascii="仿宋" w:hAnsi="仿宋" w:eastAsia="仿宋" w:cs="仿宋"/>
          <w:color w:val="auto"/>
          <w:sz w:val="24"/>
          <w:highlight w:val="none"/>
          <w:u w:val="single"/>
        </w:rPr>
        <w:t>的各项综合单价内，如产生专业服务费用由承包人承担并支付。</w:t>
      </w:r>
    </w:p>
    <w:p w14:paraId="11DD4CA2">
      <w:pPr>
        <w:autoSpaceDE w:val="0"/>
        <w:autoSpaceDN w:val="0"/>
        <w:spacing w:line="36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③</w:t>
      </w:r>
      <w:r>
        <w:rPr>
          <w:rFonts w:hint="eastAsia" w:ascii="仿宋" w:hAnsi="仿宋" w:eastAsia="仿宋" w:cs="仿宋"/>
          <w:color w:val="auto"/>
          <w:sz w:val="24"/>
          <w:highlight w:val="none"/>
          <w:u w:val="single"/>
        </w:rPr>
        <w:t>按照相关规定做好工程文件编整、电子档案制作（包括但不限于对工程档案进行排序、组卷、整理、编目、信息著录、扫描、修图、转换、系统上传等工作内容），并将符合规范要求的工程档案移交档案管理机构。</w:t>
      </w:r>
    </w:p>
    <w:p w14:paraId="27FA16BD">
      <w:pPr>
        <w:autoSpaceDE w:val="0"/>
        <w:autoSpaceDN w:val="0"/>
        <w:spacing w:line="36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④</w:t>
      </w:r>
      <w:r>
        <w:rPr>
          <w:rFonts w:hint="eastAsia" w:ascii="仿宋" w:hAnsi="仿宋" w:eastAsia="仿宋" w:cs="仿宋"/>
          <w:color w:val="auto"/>
          <w:sz w:val="24"/>
          <w:highlight w:val="none"/>
          <w:u w:val="single"/>
        </w:rPr>
        <w:t>全过程按照国家有关要求做好档案的安全及保密工作。</w:t>
      </w:r>
    </w:p>
    <w:p w14:paraId="34FED2BB">
      <w:pPr>
        <w:autoSpaceDE w:val="0"/>
        <w:autoSpaceDN w:val="0"/>
        <w:spacing w:line="36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⑤</w:t>
      </w:r>
      <w:r>
        <w:rPr>
          <w:rFonts w:hint="eastAsia" w:ascii="仿宋" w:hAnsi="仿宋" w:eastAsia="仿宋" w:cs="仿宋"/>
          <w:color w:val="auto"/>
          <w:sz w:val="24"/>
          <w:highlight w:val="none"/>
          <w:u w:val="single"/>
        </w:rPr>
        <w:t>以上相关其费用</w:t>
      </w:r>
      <w:r>
        <w:rPr>
          <w:rFonts w:hint="eastAsia" w:ascii="仿宋" w:hAnsi="仿宋" w:eastAsia="仿宋" w:cs="仿宋"/>
          <w:color w:val="auto"/>
          <w:sz w:val="24"/>
          <w:highlight w:val="none"/>
          <w:u w:val="single"/>
          <w:lang w:eastAsia="zh-CN"/>
        </w:rPr>
        <w:t>承包人</w:t>
      </w:r>
      <w:r>
        <w:rPr>
          <w:rFonts w:hint="eastAsia" w:ascii="仿宋" w:hAnsi="仿宋" w:eastAsia="仿宋" w:cs="仿宋"/>
          <w:color w:val="auto"/>
          <w:sz w:val="24"/>
          <w:highlight w:val="none"/>
          <w:u w:val="single"/>
        </w:rPr>
        <w:t>综合考虑在报价中，如产生专业服务费用由中标人承担并支付。</w:t>
      </w:r>
    </w:p>
    <w:p w14:paraId="1B44C99E">
      <w:pPr>
        <w:autoSpaceDE w:val="0"/>
        <w:autoSpaceDN w:val="0"/>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⑥</w:t>
      </w:r>
      <w:r>
        <w:rPr>
          <w:rFonts w:hint="eastAsia" w:ascii="仿宋" w:hAnsi="仿宋" w:eastAsia="仿宋" w:cs="仿宋"/>
          <w:color w:val="auto"/>
          <w:sz w:val="24"/>
          <w:highlight w:val="none"/>
          <w:u w:val="single"/>
        </w:rPr>
        <w:t>竣工验收合格后 3 个月内完成档案移交（包含建设单位档案移交时间），</w:t>
      </w:r>
      <w:r>
        <w:rPr>
          <w:rFonts w:hint="eastAsia" w:ascii="仿宋" w:hAnsi="仿宋" w:eastAsia="仿宋" w:cs="仿宋"/>
          <w:b/>
          <w:color w:val="auto"/>
          <w:sz w:val="24"/>
          <w:highlight w:val="none"/>
          <w:u w:val="single"/>
        </w:rPr>
        <w:t xml:space="preserve">逾期未完成移交按照 </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color w:val="auto"/>
          <w:sz w:val="24"/>
          <w:highlight w:val="none"/>
          <w:u w:val="single"/>
        </w:rPr>
        <w:t>元的金额扣罚承包人违约金。</w:t>
      </w:r>
    </w:p>
    <w:p w14:paraId="31E7FCA3">
      <w:pPr>
        <w:numPr>
          <w:ilvl w:val="0"/>
          <w:numId w:val="5"/>
        </w:num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承包人应履行的其他义务：</w:t>
      </w:r>
    </w:p>
    <w:p w14:paraId="1ADAE6A3">
      <w:pPr>
        <w:pStyle w:val="44"/>
        <w:adjustRightInd/>
        <w:spacing w:line="360" w:lineRule="exact"/>
        <w:ind w:firstLine="482" w:firstLineChars="200"/>
        <w:jc w:val="both"/>
        <w:rPr>
          <w:rFonts w:ascii="仿宋" w:hAnsi="仿宋" w:eastAsia="仿宋" w:cs="仿宋"/>
          <w:b/>
          <w:color w:val="auto"/>
          <w:szCs w:val="24"/>
          <w:highlight w:val="none"/>
        </w:rPr>
      </w:pPr>
      <w:r>
        <w:rPr>
          <w:rFonts w:hint="eastAsia" w:ascii="仿宋" w:hAnsi="仿宋" w:eastAsia="仿宋" w:cs="仿宋"/>
          <w:b/>
          <w:color w:val="auto"/>
          <w:szCs w:val="24"/>
          <w:highlight w:val="none"/>
          <w:u w:val="single" w:color="000000"/>
        </w:rPr>
        <w:t>1、执行《安徽省建筑工程施工扬尘污染防治规定》，负责施工扬尘污染防治工作，并承担责任及费用。做好施工现场安全生产及防火工作，确保不因施工原因造成安全隐患及事件。采取一切合理措施，保护工地及工地周围的环境，避免污染、噪声、排放或由于其施工方法的不当造成对公民人身和财产的危害或干扰；承包人应从现场清除并运走任何残物、垃圾和不再需要的临时工程。若本工程涉及地方协调及青苗补偿，由承包人负责并承担费用</w:t>
      </w:r>
      <w:r>
        <w:rPr>
          <w:rFonts w:hint="eastAsia" w:ascii="仿宋" w:hAnsi="仿宋" w:eastAsia="仿宋" w:cs="仿宋"/>
          <w:b/>
          <w:color w:val="auto"/>
          <w:szCs w:val="24"/>
          <w:highlight w:val="none"/>
        </w:rPr>
        <w:t xml:space="preserve"> 。</w:t>
      </w:r>
    </w:p>
    <w:p w14:paraId="0E76435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2、承包人须按《保障农民工工资支付条例》（国令第 724 号）《工程建设领域农民工工资专用账户管理暂行办法》（人社部发〔2021〕53 号）《淮南市人民政府办公室关于全面治理拖欠农民工工资问题的实施意见》（淮府办﹝2018﹞44 号）《淮南市城乡建设委员会关于进一步加强治理拖欠名民工工资问题的通知》（建管﹝2018﹞54 号）等文件要求，在规定时间内足额缴纳农民工工资支付保障金。如中标后查证中标单位存在拖欠农民工工资的行为，必须在</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限定的时间内完成支付，否则业主有权报请采购监管部门取消其成交资格，投标保证金及履约保证金（如有）不予退还。</w:t>
      </w:r>
    </w:p>
    <w:p w14:paraId="6E1BD09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3、施工承包企业在工程项目所在地银行开设农民工工资（劳务费）专用账户。</w:t>
      </w:r>
    </w:p>
    <w:p w14:paraId="49BA18EE">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4、工程开工前要按照工程造价</w:t>
      </w:r>
      <w:r>
        <w:rPr>
          <w:rFonts w:hint="eastAsia" w:ascii="仿宋" w:hAnsi="仿宋" w:eastAsia="仿宋" w:cs="仿宋"/>
          <w:b/>
          <w:color w:val="auto"/>
          <w:sz w:val="24"/>
          <w:highlight w:val="none"/>
          <w:u w:val="single"/>
          <w:lang w:val="en-US" w:eastAsia="zh-CN"/>
        </w:rPr>
        <w:t>2</w:t>
      </w:r>
      <w:r>
        <w:rPr>
          <w:rFonts w:hint="eastAsia" w:ascii="仿宋" w:hAnsi="仿宋" w:eastAsia="仿宋" w:cs="仿宋"/>
          <w:color w:val="auto"/>
          <w:sz w:val="24"/>
          <w:highlight w:val="none"/>
        </w:rPr>
        <w:t>%的比例缴存农民工工资保证金，存入工资保证金专户，也可用银行保函方式缴纳工资保证金。</w:t>
      </w:r>
    </w:p>
    <w:p w14:paraId="5E0CEEC9">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5、全面推行工资支付“一卡通”制度。设立农民工工资专用账户，按月或按季度缴存不低于当期工程款支付节点报价清单的</w:t>
      </w:r>
      <w:r>
        <w:rPr>
          <w:rFonts w:hint="eastAsia" w:ascii="仿宋" w:hAnsi="仿宋" w:eastAsia="仿宋" w:cs="仿宋"/>
          <w:color w:val="auto"/>
          <w:sz w:val="24"/>
          <w:highlight w:val="none"/>
          <w:u w:val="single"/>
          <w:lang w:val="en-US" w:eastAsia="zh-CN"/>
        </w:rPr>
        <w:t>25</w:t>
      </w:r>
      <w:r>
        <w:rPr>
          <w:rFonts w:hint="eastAsia" w:ascii="仿宋" w:hAnsi="仿宋" w:eastAsia="仿宋" w:cs="仿宋"/>
          <w:color w:val="auto"/>
          <w:sz w:val="24"/>
          <w:highlight w:val="none"/>
        </w:rPr>
        <w:t>%或当期工程施工人员全额工资。</w:t>
      </w:r>
    </w:p>
    <w:p w14:paraId="6D390FC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6、每月 20 日前，施工承包企业劳资专管员对施工现场的考勤系统进行用工考勤汇总，根据考勤情况编制务工人员工资发放表（表中包括农民工姓名、身份证号、工资卡号、出勤天数、应发工资、实发工资），并经本人认可，施工承包企业签字确定后，将工资发放表上传监管系统，同时施工总承包企业通过监管账户将工资款汇入农民工工资专用账户，工资代发机构根据审核通过的工资发放表将工资直接汇入务工人员工资卡中，并将工资支付信息反馈监管部门。</w:t>
      </w:r>
    </w:p>
    <w:p w14:paraId="7CA0765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7、工程完工后，承发包双方应及时进行竣工结算。承包企业应对农民工工资进行清算，并通过农民工工资专用账户一次性发放到位。</w:t>
      </w:r>
    </w:p>
    <w:p w14:paraId="1998CB7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8.承包人违约的责任</w:t>
      </w:r>
    </w:p>
    <w:p w14:paraId="4B149A9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工程施工过程中以及工程保修期内，由于承包人责任出现质量问题、安全事故、拖欠农民工工资或者其他原因，受到报纸、电视等媒体的曝光或政府有关主管部门的通报批评的，承包人应积极处理控制事态，消除事件对发包人声誉的影响。同时，</w:t>
      </w:r>
      <w:r>
        <w:rPr>
          <w:rFonts w:hint="eastAsia" w:ascii="仿宋" w:hAnsi="仿宋" w:eastAsia="仿宋" w:cs="仿宋"/>
          <w:b/>
          <w:color w:val="auto"/>
          <w:sz w:val="24"/>
          <w:highlight w:val="none"/>
        </w:rPr>
        <w:t>承包人须向发包人支付违约金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color w:val="auto"/>
          <w:sz w:val="24"/>
          <w:highlight w:val="none"/>
        </w:rPr>
        <w:t>万元/次</w:t>
      </w:r>
      <w:r>
        <w:rPr>
          <w:rFonts w:hint="eastAsia" w:ascii="仿宋" w:hAnsi="仿宋" w:eastAsia="仿宋" w:cs="仿宋"/>
          <w:color w:val="auto"/>
          <w:sz w:val="24"/>
          <w:highlight w:val="none"/>
        </w:rPr>
        <w:t>，且发包人有权直接代为支付民工工资，并增加</w:t>
      </w:r>
      <w:r>
        <w:rPr>
          <w:rFonts w:hint="eastAsia" w:ascii="仿宋" w:hAnsi="仿宋" w:eastAsia="仿宋" w:cs="仿宋"/>
          <w:b/>
          <w:color w:val="auto"/>
          <w:sz w:val="24"/>
          <w:highlight w:val="none"/>
          <w:u w:val="single"/>
          <w:lang w:val="en-US" w:eastAsia="zh-CN"/>
        </w:rPr>
        <w:t>15</w:t>
      </w:r>
      <w:r>
        <w:rPr>
          <w:rFonts w:hint="eastAsia" w:ascii="仿宋" w:hAnsi="仿宋" w:eastAsia="仿宋" w:cs="仿宋"/>
          <w:color w:val="auto"/>
          <w:sz w:val="24"/>
          <w:highlight w:val="none"/>
        </w:rPr>
        <w:t>%管理费，从工程进度款中直接扣除；该违约金不能免除承包人应承担的其他责任。发生三次以上时发包人有权单方面解除合同，</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color w:val="auto"/>
          <w:sz w:val="24"/>
          <w:highlight w:val="none"/>
        </w:rPr>
        <w:t>。</w:t>
      </w:r>
    </w:p>
    <w:p w14:paraId="72F772FB">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9、投标单位中标后必须到工程项目所在地社会保险基金征缴机构办理工伤保险参保登记手续。</w:t>
      </w:r>
    </w:p>
    <w:p w14:paraId="09D84E6E">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10、每月 20 日前提供当期完成工程形象进度报表及下期月进度施工进度计划报表（如遇法定节假日，顺延至节假日后第 1 个工作日）。进度计划不迟于已批准的总进度计划；</w:t>
      </w:r>
      <w:r>
        <w:rPr>
          <w:rFonts w:hint="eastAsia" w:ascii="仿宋" w:hAnsi="仿宋" w:eastAsia="仿宋" w:cs="仿宋"/>
          <w:b/>
          <w:color w:val="auto"/>
          <w:sz w:val="24"/>
          <w:highlight w:val="none"/>
        </w:rPr>
        <w:t>每缺少一份形象进度报表或者下期进度计划报表，承包人向发包人承担违约金人民币</w:t>
      </w:r>
      <w:r>
        <w:rPr>
          <w:rFonts w:hint="eastAsia" w:ascii="仿宋" w:hAnsi="仿宋" w:eastAsia="仿宋" w:cs="仿宋"/>
          <w:b/>
          <w:color w:val="auto"/>
          <w:sz w:val="24"/>
          <w:highlight w:val="none"/>
          <w:u w:val="single"/>
          <w:lang w:val="en-US" w:eastAsia="zh-CN"/>
        </w:rPr>
        <w:t>壹万</w:t>
      </w:r>
      <w:r>
        <w:rPr>
          <w:rFonts w:hint="eastAsia" w:ascii="仿宋" w:hAnsi="仿宋" w:eastAsia="仿宋" w:cs="仿宋"/>
          <w:b/>
          <w:color w:val="auto"/>
          <w:sz w:val="24"/>
          <w:highlight w:val="none"/>
        </w:rPr>
        <w:t>元（</w:t>
      </w:r>
      <w:r>
        <w:rPr>
          <w:rFonts w:hint="eastAsia" w:ascii="仿宋" w:hAnsi="仿宋" w:eastAsia="仿宋" w:cs="仿宋"/>
          <w:b/>
          <w:color w:val="auto"/>
          <w:sz w:val="24"/>
          <w:highlight w:val="none"/>
          <w:u w:val="single"/>
          <w:lang w:val="en-US" w:eastAsia="zh-CN"/>
        </w:rPr>
        <w:t>10000</w:t>
      </w:r>
      <w:r>
        <w:rPr>
          <w:rFonts w:hint="eastAsia" w:ascii="仿宋" w:hAnsi="仿宋" w:eastAsia="仿宋" w:cs="仿宋"/>
          <w:b/>
          <w:color w:val="auto"/>
          <w:sz w:val="24"/>
          <w:highlight w:val="none"/>
        </w:rPr>
        <w:t>元）。</w:t>
      </w:r>
    </w:p>
    <w:p w14:paraId="681FE814">
      <w:pPr>
        <w:tabs>
          <w:tab w:val="left" w:pos="1260"/>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11、提供监理人现场办公用房</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间和发包人办公用房</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间（每间用房</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平方米以上）及办公桌椅和资料柜，施工期间办公时发生的水、电费用由承包人承担；</w:t>
      </w:r>
    </w:p>
    <w:p w14:paraId="6BA8BEE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12、保持场地清洁卫生，符合环境卫生和文明施工管理的有关规定； 交工前拆除临时建筑设施，清运建筑垃圾、多余土方和建筑材料，场地应清洁、平整、卫生，否则承担相应费用；</w:t>
      </w:r>
    </w:p>
    <w:p w14:paraId="6FC3EBB3">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13、承包人应独立做好外部环境协调工作，发生费用自理。承包人应有依法纳税的义务，并与税务部门签订纳税承诺书；</w:t>
      </w:r>
    </w:p>
    <w:p w14:paraId="41A8A18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14、不得损坏施工场地四周地下管线和邻近建筑物、构筑物和需要保护的树木。如发生损坏，由承包人负责赔偿并承担由此造成的一切责任；</w:t>
      </w:r>
    </w:p>
    <w:p w14:paraId="370D241D">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15、承包人必须严格按照国家规定及发包人要求收集、整理、归档工程各环节的技术、管理资料。</w:t>
      </w:r>
    </w:p>
    <w:p w14:paraId="4095A096">
      <w:pPr>
        <w:tabs>
          <w:tab w:val="left" w:pos="9460"/>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16、中标人需按《淮南市建筑垃圾管理办法》淮南市人民政府令〔2016〕142 号文件要求运送渣土，因违反规定受到处罚、给</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造成经济损失的，一切费用及损失由中标人承担。</w:t>
      </w:r>
    </w:p>
    <w:p w14:paraId="3D46596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17、承包人无条件接受建设单位委托的第三方质量检测机构进行全过程检测。</w:t>
      </w:r>
    </w:p>
    <w:p w14:paraId="7CEF2EAE">
      <w:pPr>
        <w:autoSpaceDE w:val="0"/>
        <w:autoSpaceDN w:val="0"/>
        <w:spacing w:line="360" w:lineRule="exact"/>
        <w:ind w:firstLine="482" w:firstLineChars="200"/>
        <w:rPr>
          <w:rFonts w:ascii="仿宋" w:hAnsi="仿宋" w:eastAsia="仿宋" w:cs="仿宋"/>
          <w:color w:val="auto"/>
          <w:kern w:val="1"/>
          <w:sz w:val="24"/>
          <w:highlight w:val="none"/>
        </w:rPr>
      </w:pPr>
      <w:r>
        <w:rPr>
          <w:rFonts w:hint="eastAsia" w:ascii="仿宋" w:hAnsi="仿宋" w:eastAsia="仿宋" w:cs="仿宋"/>
          <w:b/>
          <w:color w:val="auto"/>
          <w:sz w:val="24"/>
          <w:highlight w:val="none"/>
        </w:rPr>
        <w:t>18、承包人严格落实《淮南市城市建设企业安全生产承诺制度》，企业依法参加工伤保险，为从业人员缴纳保险费，投保安全生产责任保险。承包人未为从业人员缴纳保险费的，每出现一人次向发包人承担违约金人民币壹万元。</w:t>
      </w:r>
    </w:p>
    <w:p w14:paraId="080564B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3.2 项目经理</w:t>
      </w:r>
    </w:p>
    <w:p w14:paraId="70E90B8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3.2.1 项目经理：</w:t>
      </w:r>
    </w:p>
    <w:p w14:paraId="1E0E2A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2B44625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身份证号：</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895DFA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建造师执业资格等级：</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69449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建造师注册证书号：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07C1A27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建造师执业印章号：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40A09F9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安全生产考核合格证书号：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5E1EEC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7CDEC07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4218A4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929F92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承包人对项目经理的授权范围如下：</w:t>
      </w:r>
      <w:r>
        <w:rPr>
          <w:rFonts w:hint="eastAsia" w:ascii="仿宋" w:hAnsi="仿宋" w:eastAsia="仿宋" w:cs="仿宋"/>
          <w:color w:val="auto"/>
          <w:kern w:val="1"/>
          <w:sz w:val="24"/>
          <w:highlight w:val="none"/>
          <w:u w:val="single"/>
        </w:rPr>
        <w:t>负责代表承包人全面履行合同，按要求组织施工；负责现场技术、安全、质量、进度管理；负责变更签证、验收和结（决）算；负责资料整理、收集、归档、管理、移交等。详见项目经理任命或授权书。</w:t>
      </w:r>
    </w:p>
    <w:p w14:paraId="5E6CC6D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关于项目经理每月在施工现场的时间要求：</w:t>
      </w:r>
      <w:r>
        <w:rPr>
          <w:rFonts w:hint="eastAsia" w:ascii="仿宋" w:hAnsi="仿宋" w:eastAsia="仿宋" w:cs="仿宋"/>
          <w:b/>
          <w:color w:val="auto"/>
          <w:kern w:val="1"/>
          <w:sz w:val="24"/>
          <w:highlight w:val="none"/>
        </w:rPr>
        <w:t>承包人向发包人报送名单的</w:t>
      </w:r>
      <w:r>
        <w:rPr>
          <w:rFonts w:hint="eastAsia" w:ascii="仿宋" w:hAnsi="仿宋" w:eastAsia="仿宋" w:cs="仿宋"/>
          <w:color w:val="auto"/>
          <w:kern w:val="1"/>
          <w:sz w:val="24"/>
          <w:highlight w:val="none"/>
          <w:u w:val="single"/>
        </w:rPr>
        <w:t>项目经理每月需到施工现场出勤不少于20日历天（每天驻场时间应不少于8小时，否则视为未出勤），</w:t>
      </w:r>
      <w:r>
        <w:rPr>
          <w:rFonts w:hint="eastAsia" w:ascii="仿宋" w:hAnsi="仿宋" w:eastAsia="仿宋" w:cs="仿宋"/>
          <w:b/>
          <w:color w:val="auto"/>
          <w:kern w:val="1"/>
          <w:sz w:val="24"/>
          <w:highlight w:val="none"/>
          <w:u w:val="single"/>
        </w:rPr>
        <w:t>接受发包人的考勤，</w:t>
      </w:r>
      <w:r>
        <w:rPr>
          <w:rFonts w:hint="eastAsia" w:ascii="仿宋" w:hAnsi="仿宋" w:eastAsia="仿宋" w:cs="仿宋"/>
          <w:color w:val="auto"/>
          <w:kern w:val="1"/>
          <w:sz w:val="24"/>
          <w:highlight w:val="none"/>
          <w:u w:val="single"/>
        </w:rPr>
        <w:t>如每月出勤少于20日历天的，承包人按项目经理缺勤的天数承担违约金</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color w:val="auto"/>
          <w:kern w:val="1"/>
          <w:sz w:val="24"/>
          <w:highlight w:val="none"/>
          <w:u w:val="single"/>
        </w:rPr>
        <w:t>元/天</w:t>
      </w:r>
      <w:r>
        <w:rPr>
          <w:rFonts w:hint="eastAsia" w:ascii="仿宋" w:hAnsi="仿宋" w:eastAsia="仿宋" w:cs="仿宋"/>
          <w:color w:val="auto"/>
          <w:kern w:val="1"/>
          <w:sz w:val="24"/>
          <w:highlight w:val="none"/>
          <w:u w:val="single"/>
        </w:rPr>
        <w:t>，</w:t>
      </w:r>
      <w:r>
        <w:rPr>
          <w:rFonts w:hint="eastAsia" w:ascii="仿宋" w:hAnsi="仿宋" w:eastAsia="仿宋" w:cs="仿宋"/>
          <w:b/>
          <w:color w:val="auto"/>
          <w:kern w:val="1"/>
          <w:sz w:val="24"/>
          <w:highlight w:val="none"/>
          <w:u w:val="single"/>
        </w:rPr>
        <w:t>未参加项目例会、监理例会等各种会议的，每缺勤一次向发包人承担违约金人民币</w:t>
      </w:r>
      <w:r>
        <w:rPr>
          <w:rFonts w:hint="eastAsia" w:ascii="仿宋" w:hAnsi="仿宋" w:eastAsia="仿宋" w:cs="仿宋"/>
          <w:b/>
          <w:color w:val="auto"/>
          <w:sz w:val="24"/>
          <w:highlight w:val="none"/>
          <w:u w:val="single"/>
          <w:lang w:val="en-US" w:eastAsia="zh-CN"/>
        </w:rPr>
        <w:t>3000</w:t>
      </w:r>
      <w:r>
        <w:rPr>
          <w:rFonts w:hint="eastAsia" w:ascii="仿宋" w:hAnsi="仿宋" w:eastAsia="仿宋" w:cs="仿宋"/>
          <w:b/>
          <w:color w:val="auto"/>
          <w:kern w:val="1"/>
          <w:sz w:val="24"/>
          <w:highlight w:val="none"/>
          <w:u w:val="single"/>
        </w:rPr>
        <w:t>元，</w:t>
      </w:r>
      <w:r>
        <w:rPr>
          <w:rFonts w:hint="eastAsia" w:ascii="仿宋" w:hAnsi="仿宋" w:eastAsia="仿宋" w:cs="仿宋"/>
          <w:color w:val="auto"/>
          <w:kern w:val="1"/>
          <w:sz w:val="24"/>
          <w:highlight w:val="none"/>
          <w:u w:val="single"/>
        </w:rPr>
        <w:t>并在工程进度款或其他款项中扣除。如合同期内任何一个月内项目经理出勤少于15天，承包人除了按上述标准缴纳违约金外，发包人有权要求限期更换项目经理。发包人可报请建设行政主管部门对承包人及项目经理记录不良信用、责成承包人更换项目经理并到岗履职， 承包人承担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万元/人/次违约金，直至满足发包人要求。</w:t>
      </w:r>
    </w:p>
    <w:p w14:paraId="658E90D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项目经理未经批准，擅自离开施工现场的违约责任：</w:t>
      </w:r>
      <w:r>
        <w:rPr>
          <w:rFonts w:hint="eastAsia" w:ascii="仿宋" w:hAnsi="仿宋" w:eastAsia="仿宋" w:cs="仿宋"/>
          <w:b/>
          <w:color w:val="auto"/>
          <w:sz w:val="24"/>
          <w:highlight w:val="none"/>
          <w:u w:val="single"/>
        </w:rPr>
        <w:t>向发包人支付违约金</w:t>
      </w:r>
      <w:r>
        <w:rPr>
          <w:rFonts w:hint="eastAsia" w:ascii="仿宋" w:hAnsi="仿宋" w:eastAsia="仿宋" w:cs="仿宋"/>
          <w:b/>
          <w:color w:val="auto"/>
          <w:sz w:val="24"/>
          <w:highlight w:val="none"/>
          <w:u w:val="single"/>
          <w:lang w:val="en-US" w:eastAsia="zh-CN"/>
        </w:rPr>
        <w:t>3000</w:t>
      </w:r>
      <w:r>
        <w:rPr>
          <w:rFonts w:hint="eastAsia" w:ascii="仿宋" w:hAnsi="仿宋" w:eastAsia="仿宋" w:cs="仿宋"/>
          <w:b/>
          <w:color w:val="auto"/>
          <w:sz w:val="24"/>
          <w:highlight w:val="none"/>
          <w:u w:val="single"/>
        </w:rPr>
        <w:t>元/次</w:t>
      </w:r>
      <w:r>
        <w:rPr>
          <w:rFonts w:hint="eastAsia" w:ascii="仿宋" w:hAnsi="仿宋" w:eastAsia="仿宋" w:cs="仿宋"/>
          <w:b/>
          <w:color w:val="auto"/>
          <w:sz w:val="24"/>
          <w:highlight w:val="none"/>
        </w:rPr>
        <w:t>。</w:t>
      </w:r>
    </w:p>
    <w:p w14:paraId="76896952">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3.2.3 承包人更换项目经理的违约责任：</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项目经理（或联合体各方项目经理）原则上不允许更换，除特殊原因经发包人批准同意后可以更换，</w:t>
      </w:r>
      <w:r>
        <w:rPr>
          <w:rFonts w:hint="eastAsia" w:ascii="仿宋" w:hAnsi="仿宋" w:eastAsia="仿宋" w:cs="仿宋"/>
          <w:b/>
          <w:color w:val="auto"/>
          <w:sz w:val="24"/>
          <w:highlight w:val="none"/>
        </w:rPr>
        <w:t>但仍需承担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color w:val="auto"/>
          <w:sz w:val="24"/>
          <w:highlight w:val="none"/>
        </w:rPr>
        <w:t>万元/次的违约金</w:t>
      </w:r>
      <w:r>
        <w:rPr>
          <w:rFonts w:hint="eastAsia" w:ascii="仿宋" w:hAnsi="仿宋" w:eastAsia="仿宋" w:cs="仿宋"/>
          <w:color w:val="auto"/>
          <w:sz w:val="24"/>
          <w:highlight w:val="none"/>
        </w:rPr>
        <w:t>并且承包人承担上述违约给发包人造成的一切损失，</w:t>
      </w:r>
      <w:r>
        <w:rPr>
          <w:rFonts w:hint="eastAsia" w:ascii="仿宋" w:hAnsi="仿宋" w:eastAsia="仿宋" w:cs="仿宋"/>
          <w:b/>
          <w:color w:val="auto"/>
          <w:sz w:val="24"/>
          <w:highlight w:val="none"/>
          <w:u w:val="single" w:color="000000"/>
        </w:rPr>
        <w:t>同时更改的项目经理在能力、业绩、奖项等方面不低于原中标项目经理</w:t>
      </w:r>
      <w:r>
        <w:rPr>
          <w:rFonts w:hint="eastAsia" w:ascii="仿宋" w:hAnsi="仿宋" w:eastAsia="仿宋" w:cs="仿宋"/>
          <w:color w:val="auto"/>
          <w:sz w:val="24"/>
          <w:highlight w:val="none"/>
        </w:rPr>
        <w:t>。承包人擅自更换项目经理或更换的项目经理不符合发包人要求的，发包人有权单方面解除合同、没收履约保证金，且承包人还须承担发包人再次招标（采购）或组织施工单位进场的各项费用及逾期竣工的损失。</w:t>
      </w:r>
    </w:p>
    <w:p w14:paraId="491EF6B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3.2.4 承包人无正当理由拒绝更换项目经理的违约责任：</w:t>
      </w:r>
      <w:r>
        <w:rPr>
          <w:rFonts w:hint="eastAsia" w:ascii="仿宋" w:hAnsi="仿宋" w:eastAsia="仿宋" w:cs="仿宋"/>
          <w:color w:val="auto"/>
          <w:kern w:val="1"/>
          <w:sz w:val="24"/>
          <w:highlight w:val="none"/>
          <w:u w:val="single"/>
        </w:rPr>
        <w:t>承包人承担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万元/次的违约金，同时发包人有权单方面解除合同、没收履约保证金，且承包人还须承担发包人再次招标（采购）或组织施工单位进场的各项费用及逾期竣工的损失。</w:t>
      </w:r>
    </w:p>
    <w:p w14:paraId="1EF592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3.3 承包人人员</w:t>
      </w:r>
    </w:p>
    <w:p w14:paraId="1DABCC5C">
      <w:pPr>
        <w:pStyle w:val="44"/>
        <w:adjustRightInd/>
        <w:spacing w:line="360" w:lineRule="exact"/>
        <w:ind w:firstLine="480" w:firstLineChars="200"/>
        <w:jc w:val="left"/>
        <w:rPr>
          <w:rFonts w:ascii="仿宋" w:hAnsi="仿宋" w:eastAsia="仿宋" w:cs="仿宋"/>
          <w:b/>
          <w:color w:val="auto"/>
          <w:kern w:val="1"/>
          <w:szCs w:val="24"/>
          <w:highlight w:val="none"/>
        </w:rPr>
      </w:pPr>
      <w:r>
        <w:rPr>
          <w:rFonts w:hint="eastAsia" w:ascii="仿宋" w:hAnsi="仿宋" w:eastAsia="仿宋" w:cs="仿宋"/>
          <w:color w:val="auto"/>
          <w:kern w:val="1"/>
          <w:szCs w:val="24"/>
          <w:highlight w:val="none"/>
        </w:rPr>
        <w:t>承包人项目管理机构的现场技术负责人、主要管理人员在整个项目施工期内必须到位。技术负责人及其他施工管理人员每月在工程施工现场时间不少于 20个日历天，技术负责人</w:t>
      </w:r>
      <w:r>
        <w:rPr>
          <w:rFonts w:hint="eastAsia" w:ascii="仿宋" w:hAnsi="仿宋" w:eastAsia="仿宋" w:cs="仿宋"/>
          <w:b/>
          <w:color w:val="auto"/>
          <w:kern w:val="1"/>
          <w:szCs w:val="24"/>
          <w:highlight w:val="none"/>
        </w:rPr>
        <w:t xml:space="preserve">每缺勤一次处罚 </w:t>
      </w:r>
      <w:r>
        <w:rPr>
          <w:rFonts w:hint="eastAsia" w:ascii="仿宋" w:hAnsi="仿宋" w:eastAsia="仿宋" w:cs="仿宋"/>
          <w:b/>
          <w:color w:val="auto"/>
          <w:highlight w:val="none"/>
          <w:u w:val="single"/>
          <w:lang w:val="en-US" w:eastAsia="zh-CN"/>
        </w:rPr>
        <w:t>2000</w:t>
      </w:r>
      <w:r>
        <w:rPr>
          <w:rFonts w:hint="eastAsia" w:ascii="仿宋" w:hAnsi="仿宋" w:eastAsia="仿宋" w:cs="仿宋"/>
          <w:b/>
          <w:color w:val="auto"/>
          <w:kern w:val="1"/>
          <w:szCs w:val="24"/>
          <w:highlight w:val="none"/>
        </w:rPr>
        <w:t>元/人•次的违约金，专职安全员</w:t>
      </w:r>
      <w:r>
        <w:rPr>
          <w:rFonts w:hint="eastAsia" w:ascii="仿宋" w:hAnsi="仿宋" w:eastAsia="仿宋" w:cs="仿宋"/>
          <w:b/>
          <w:color w:val="auto"/>
          <w:highlight w:val="none"/>
          <w:u w:val="single"/>
          <w:lang w:val="en-US" w:eastAsia="zh-CN"/>
        </w:rPr>
        <w:t>1000</w:t>
      </w:r>
      <w:r>
        <w:rPr>
          <w:rFonts w:hint="eastAsia" w:ascii="仿宋" w:hAnsi="仿宋" w:eastAsia="仿宋" w:cs="仿宋"/>
          <w:b/>
          <w:color w:val="auto"/>
          <w:kern w:val="1"/>
          <w:szCs w:val="24"/>
          <w:highlight w:val="none"/>
        </w:rPr>
        <w:t xml:space="preserve">元/人•次的违约金，其他管理人员每缺勤一次处罚 </w:t>
      </w:r>
      <w:r>
        <w:rPr>
          <w:rFonts w:hint="eastAsia" w:ascii="仿宋" w:hAnsi="仿宋" w:eastAsia="仿宋" w:cs="仿宋"/>
          <w:b/>
          <w:color w:val="auto"/>
          <w:highlight w:val="none"/>
          <w:u w:val="single"/>
          <w:lang w:val="en-US" w:eastAsia="zh-CN"/>
        </w:rPr>
        <w:t>500</w:t>
      </w:r>
      <w:r>
        <w:rPr>
          <w:rFonts w:hint="eastAsia" w:ascii="仿宋" w:hAnsi="仿宋" w:eastAsia="仿宋" w:cs="仿宋"/>
          <w:b/>
          <w:color w:val="auto"/>
          <w:kern w:val="1"/>
          <w:szCs w:val="24"/>
          <w:highlight w:val="none"/>
        </w:rPr>
        <w:t>元/人•次的违约金。</w:t>
      </w:r>
    </w:p>
    <w:p w14:paraId="2B4B6DD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3.3.1 承包人提交项目管理机构及施工现场管理人员安排报告的期限：</w:t>
      </w:r>
      <w:r>
        <w:rPr>
          <w:rFonts w:hint="eastAsia" w:ascii="仿宋" w:hAnsi="仿宋" w:eastAsia="仿宋" w:cs="仿宋"/>
          <w:color w:val="auto"/>
          <w:kern w:val="1"/>
          <w:sz w:val="24"/>
          <w:highlight w:val="none"/>
          <w:u w:val="single"/>
        </w:rPr>
        <w:t>承包人应在接到开工通知后 3日内</w:t>
      </w:r>
      <w:r>
        <w:rPr>
          <w:rFonts w:hint="eastAsia" w:ascii="仿宋" w:hAnsi="仿宋" w:eastAsia="仿宋" w:cs="仿宋"/>
          <w:color w:val="auto"/>
          <w:kern w:val="1"/>
          <w:sz w:val="24"/>
          <w:highlight w:val="none"/>
        </w:rPr>
        <w:t>，依据响应文件承诺向发包人提交承包人项目管理机构及施工现场人员安排的报告，其内容应包括</w:t>
      </w:r>
      <w:r>
        <w:rPr>
          <w:rFonts w:hint="eastAsia" w:ascii="仿宋" w:hAnsi="仿宋" w:eastAsia="仿宋" w:cs="仿宋"/>
          <w:color w:val="auto"/>
          <w:kern w:val="1"/>
          <w:sz w:val="24"/>
          <w:highlight w:val="none"/>
          <w:u w:val="single"/>
        </w:rPr>
        <w:t>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D0E1053">
      <w:pPr>
        <w:spacing w:line="360" w:lineRule="exact"/>
        <w:ind w:firstLine="480" w:firstLineChars="200"/>
        <w:rPr>
          <w:rFonts w:ascii="仿宋" w:hAnsi="仿宋" w:eastAsia="仿宋" w:cs="仿宋"/>
          <w:b/>
          <w:bCs/>
          <w:color w:val="auto"/>
          <w:kern w:val="1"/>
          <w:sz w:val="24"/>
          <w:highlight w:val="none"/>
        </w:rPr>
      </w:pPr>
      <w:r>
        <w:rPr>
          <w:rFonts w:hint="eastAsia" w:ascii="仿宋" w:hAnsi="仿宋" w:eastAsia="仿宋" w:cs="仿宋"/>
          <w:color w:val="auto"/>
          <w:kern w:val="1"/>
          <w:sz w:val="24"/>
          <w:highlight w:val="none"/>
        </w:rPr>
        <w:t>3.3.2 承包人无正当理由拒绝撤换主要施工管理人员的违约责任：</w:t>
      </w:r>
      <w:r>
        <w:rPr>
          <w:rFonts w:hint="eastAsia" w:ascii="仿宋" w:hAnsi="仿宋" w:eastAsia="仿宋" w:cs="仿宋"/>
          <w:color w:val="auto"/>
          <w:kern w:val="1"/>
          <w:sz w:val="24"/>
          <w:highlight w:val="none"/>
          <w:u w:val="single"/>
        </w:rPr>
        <w:t>首先向发包人承担技术负责人</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万元/人次违约金，专职安全员</w:t>
      </w:r>
      <w:r>
        <w:rPr>
          <w:rFonts w:hint="eastAsia" w:ascii="仿宋" w:hAnsi="仿宋" w:eastAsia="仿宋" w:cs="仿宋"/>
          <w:b/>
          <w:color w:val="auto"/>
          <w:sz w:val="24"/>
          <w:highlight w:val="none"/>
          <w:u w:val="single"/>
          <w:lang w:val="en-US" w:eastAsia="zh-CN"/>
        </w:rPr>
        <w:t>2</w:t>
      </w:r>
      <w:r>
        <w:rPr>
          <w:rFonts w:hint="eastAsia" w:ascii="仿宋" w:hAnsi="仿宋" w:eastAsia="仿宋" w:cs="仿宋"/>
          <w:color w:val="auto"/>
          <w:kern w:val="1"/>
          <w:sz w:val="24"/>
          <w:highlight w:val="none"/>
          <w:u w:val="single"/>
        </w:rPr>
        <w:t>万元/人次违约金，其他管理人员</w:t>
      </w:r>
      <w:r>
        <w:rPr>
          <w:rFonts w:hint="eastAsia" w:ascii="仿宋" w:hAnsi="仿宋" w:eastAsia="仿宋" w:cs="仿宋"/>
          <w:b/>
          <w:color w:val="auto"/>
          <w:sz w:val="24"/>
          <w:highlight w:val="none"/>
          <w:u w:val="single"/>
          <w:lang w:val="en-US" w:eastAsia="zh-CN"/>
        </w:rPr>
        <w:t>1</w:t>
      </w:r>
      <w:r>
        <w:rPr>
          <w:rFonts w:hint="eastAsia" w:ascii="仿宋" w:hAnsi="仿宋" w:eastAsia="仿宋" w:cs="仿宋"/>
          <w:color w:val="auto"/>
          <w:kern w:val="1"/>
          <w:sz w:val="24"/>
          <w:highlight w:val="none"/>
          <w:u w:val="single"/>
        </w:rPr>
        <w:t>万元/人次违约金。同时发包人有权解除建设工程施工合同，所造成的一切损失由承包人承担。</w:t>
      </w:r>
    </w:p>
    <w:p w14:paraId="75392A3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3.3.3 </w:t>
      </w:r>
      <w:r>
        <w:rPr>
          <w:rFonts w:hint="eastAsia" w:ascii="仿宋" w:hAnsi="仿宋" w:eastAsia="仿宋" w:cs="仿宋"/>
          <w:color w:val="auto"/>
          <w:sz w:val="24"/>
          <w:highlight w:val="none"/>
        </w:rPr>
        <w:t xml:space="preserve"> 承包人主要施工管理人员离开施工现场的批准要求：</w:t>
      </w:r>
      <w:r>
        <w:rPr>
          <w:rFonts w:hint="eastAsia" w:ascii="仿宋" w:hAnsi="仿宋" w:eastAsia="仿宋" w:cs="仿宋"/>
          <w:color w:val="auto"/>
          <w:sz w:val="24"/>
          <w:highlight w:val="none"/>
          <w:u w:val="single" w:color="000000"/>
        </w:rPr>
        <w:t>由总监理工程师初步审核同意，发包人批准后方可离开。为便于现场考勤，承包人必须无条件接受发包人提供的指纹或面部识别考勤。对施工现场组织机构、关键岗位人员进行考勤管理。</w:t>
      </w:r>
    </w:p>
    <w:p w14:paraId="05B7AF8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3.3.4 承包人擅自更换主要施工管理人员的违约责任：</w:t>
      </w:r>
      <w:r>
        <w:rPr>
          <w:rFonts w:hint="eastAsia" w:ascii="仿宋" w:hAnsi="仿宋" w:eastAsia="仿宋" w:cs="仿宋"/>
          <w:b/>
          <w:color w:val="auto"/>
          <w:sz w:val="24"/>
          <w:highlight w:val="none"/>
          <w:u w:val="single" w:color="000000"/>
        </w:rPr>
        <w:t>技术负责人原则上不允许更换，除特殊原因经发包人批准同意后可以更换</w:t>
      </w:r>
      <w:r>
        <w:rPr>
          <w:rFonts w:hint="eastAsia" w:ascii="仿宋" w:hAnsi="仿宋" w:eastAsia="仿宋" w:cs="仿宋"/>
          <w:b/>
          <w:bCs/>
          <w:color w:val="auto"/>
          <w:kern w:val="1"/>
          <w:sz w:val="24"/>
          <w:highlight w:val="none"/>
          <w:u w:val="single"/>
        </w:rPr>
        <w:t>：变更技术负责人承担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万元/人•次违约金，</w:t>
      </w:r>
      <w:r>
        <w:rPr>
          <w:rFonts w:hint="eastAsia" w:ascii="仿宋" w:hAnsi="仿宋" w:eastAsia="仿宋" w:cs="仿宋"/>
          <w:b/>
          <w:color w:val="auto"/>
          <w:sz w:val="24"/>
          <w:highlight w:val="none"/>
          <w:u w:val="single" w:color="000000"/>
        </w:rPr>
        <w:t>同时更改的项目技术负责人在能力、业绩、奖项等方面不低于原中标技术负责人，</w:t>
      </w:r>
      <w:r>
        <w:rPr>
          <w:rFonts w:hint="eastAsia" w:ascii="仿宋" w:hAnsi="仿宋" w:eastAsia="仿宋" w:cs="仿宋"/>
          <w:b/>
          <w:color w:val="auto"/>
          <w:sz w:val="24"/>
          <w:highlight w:val="none"/>
          <w:u w:val="single"/>
        </w:rPr>
        <w:t>变</w:t>
      </w:r>
      <w:r>
        <w:rPr>
          <w:rFonts w:hint="eastAsia" w:ascii="仿宋" w:hAnsi="仿宋" w:eastAsia="仿宋" w:cs="仿宋"/>
          <w:b/>
          <w:bCs/>
          <w:color w:val="auto"/>
          <w:kern w:val="1"/>
          <w:sz w:val="24"/>
          <w:highlight w:val="none"/>
          <w:u w:val="single"/>
        </w:rPr>
        <w:t>更</w:t>
      </w:r>
      <w:r>
        <w:rPr>
          <w:rFonts w:hint="eastAsia" w:ascii="仿宋" w:hAnsi="仿宋" w:eastAsia="仿宋" w:cs="仿宋"/>
          <w:b/>
          <w:color w:val="auto"/>
          <w:sz w:val="24"/>
          <w:highlight w:val="none"/>
          <w:u w:val="single" w:color="000000"/>
        </w:rPr>
        <w:t>专职安全员</w:t>
      </w:r>
      <w:r>
        <w:rPr>
          <w:rFonts w:hint="eastAsia" w:ascii="仿宋" w:hAnsi="仿宋" w:eastAsia="仿宋" w:cs="仿宋"/>
          <w:b/>
          <w:color w:val="auto"/>
          <w:sz w:val="24"/>
          <w:highlight w:val="none"/>
          <w:u w:val="single"/>
          <w:lang w:val="en-US" w:eastAsia="zh-CN"/>
        </w:rPr>
        <w:t>2</w:t>
      </w:r>
      <w:r>
        <w:rPr>
          <w:rFonts w:hint="eastAsia" w:ascii="仿宋" w:hAnsi="仿宋" w:eastAsia="仿宋" w:cs="仿宋"/>
          <w:b/>
          <w:color w:val="auto"/>
          <w:sz w:val="24"/>
          <w:highlight w:val="none"/>
          <w:u w:val="single" w:color="000000"/>
        </w:rPr>
        <w:t>万元/人次违约金，</w:t>
      </w:r>
      <w:r>
        <w:rPr>
          <w:rFonts w:hint="eastAsia" w:ascii="仿宋" w:hAnsi="仿宋" w:eastAsia="仿宋" w:cs="仿宋"/>
          <w:b/>
          <w:color w:val="auto"/>
          <w:sz w:val="24"/>
          <w:highlight w:val="none"/>
          <w:u w:val="single"/>
        </w:rPr>
        <w:t>变</w:t>
      </w:r>
      <w:r>
        <w:rPr>
          <w:rFonts w:hint="eastAsia" w:ascii="仿宋" w:hAnsi="仿宋" w:eastAsia="仿宋" w:cs="仿宋"/>
          <w:b/>
          <w:bCs/>
          <w:color w:val="auto"/>
          <w:kern w:val="1"/>
          <w:sz w:val="24"/>
          <w:highlight w:val="none"/>
          <w:u w:val="single"/>
        </w:rPr>
        <w:t xml:space="preserve">更其他管理人员承担 </w:t>
      </w:r>
      <w:r>
        <w:rPr>
          <w:rFonts w:hint="eastAsia" w:ascii="仿宋" w:hAnsi="仿宋" w:eastAsia="仿宋" w:cs="仿宋"/>
          <w:b/>
          <w:color w:val="auto"/>
          <w:sz w:val="24"/>
          <w:highlight w:val="none"/>
          <w:u w:val="single"/>
          <w:lang w:val="en-US" w:eastAsia="zh-CN"/>
        </w:rPr>
        <w:t>1</w:t>
      </w:r>
      <w:r>
        <w:rPr>
          <w:rFonts w:hint="eastAsia" w:ascii="仿宋" w:hAnsi="仿宋" w:eastAsia="仿宋" w:cs="仿宋"/>
          <w:b/>
          <w:bCs/>
          <w:color w:val="auto"/>
          <w:kern w:val="1"/>
          <w:sz w:val="24"/>
          <w:highlight w:val="none"/>
          <w:u w:val="single"/>
        </w:rPr>
        <w:t>万元/人•次违约金。无论是否取得发包人批准同意，均需承担违约金，</w:t>
      </w:r>
      <w:r>
        <w:rPr>
          <w:rFonts w:hint="eastAsia" w:ascii="仿宋" w:hAnsi="仿宋" w:eastAsia="仿宋" w:cs="仿宋"/>
          <w:color w:val="auto"/>
          <w:kern w:val="1"/>
          <w:sz w:val="24"/>
          <w:highlight w:val="none"/>
          <w:u w:val="single"/>
        </w:rPr>
        <w:t>且更换后的人员资历必须符合工程建设要求。</w:t>
      </w:r>
      <w:r>
        <w:rPr>
          <w:rFonts w:hint="eastAsia" w:ascii="仿宋" w:hAnsi="仿宋" w:eastAsia="仿宋" w:cs="仿宋"/>
          <w:color w:val="auto"/>
          <w:kern w:val="1"/>
          <w:sz w:val="24"/>
          <w:highlight w:val="none"/>
        </w:rPr>
        <w:t>承包人主要施工管理人员擅自离开施工现场的违约责任：</w:t>
      </w:r>
      <w:r>
        <w:rPr>
          <w:rFonts w:hint="eastAsia" w:ascii="仿宋" w:hAnsi="仿宋" w:eastAsia="仿宋" w:cs="仿宋"/>
          <w:color w:val="auto"/>
          <w:kern w:val="1"/>
          <w:sz w:val="24"/>
          <w:highlight w:val="none"/>
          <w:u w:val="single"/>
        </w:rPr>
        <w:t>主要施工管理人员每月在工程施工现场时间不少于 20 个日历天，</w:t>
      </w:r>
      <w:r>
        <w:rPr>
          <w:rFonts w:hint="eastAsia" w:ascii="仿宋" w:hAnsi="仿宋" w:eastAsia="仿宋" w:cs="仿宋"/>
          <w:b/>
          <w:color w:val="auto"/>
          <w:kern w:val="1"/>
          <w:sz w:val="24"/>
          <w:highlight w:val="none"/>
          <w:u w:val="single"/>
        </w:rPr>
        <w:t xml:space="preserve">技术负责人每缺勤一次处罚 </w:t>
      </w:r>
      <w:r>
        <w:rPr>
          <w:rFonts w:hint="eastAsia" w:ascii="仿宋" w:hAnsi="仿宋" w:eastAsia="仿宋" w:cs="仿宋"/>
          <w:b/>
          <w:color w:val="auto"/>
          <w:sz w:val="24"/>
          <w:highlight w:val="none"/>
          <w:u w:val="single"/>
          <w:lang w:val="en-US" w:eastAsia="zh-CN"/>
        </w:rPr>
        <w:t>2000</w:t>
      </w:r>
      <w:r>
        <w:rPr>
          <w:rFonts w:hint="eastAsia" w:ascii="仿宋" w:hAnsi="仿宋" w:eastAsia="仿宋" w:cs="仿宋"/>
          <w:b/>
          <w:color w:val="auto"/>
          <w:kern w:val="1"/>
          <w:sz w:val="24"/>
          <w:highlight w:val="none"/>
          <w:u w:val="single"/>
        </w:rPr>
        <w:t>元/人•次的违约金，专职安全员每缺勤一天处罚</w:t>
      </w:r>
      <w:r>
        <w:rPr>
          <w:rFonts w:hint="eastAsia" w:ascii="仿宋" w:hAnsi="仿宋" w:eastAsia="仿宋" w:cs="仿宋"/>
          <w:b/>
          <w:color w:val="auto"/>
          <w:sz w:val="24"/>
          <w:highlight w:val="none"/>
          <w:u w:val="single"/>
          <w:lang w:val="en-US" w:eastAsia="zh-CN"/>
        </w:rPr>
        <w:t>1000</w:t>
      </w:r>
      <w:r>
        <w:rPr>
          <w:rFonts w:hint="eastAsia" w:ascii="仿宋" w:hAnsi="仿宋" w:eastAsia="仿宋" w:cs="仿宋"/>
          <w:b/>
          <w:color w:val="auto"/>
          <w:kern w:val="1"/>
          <w:sz w:val="24"/>
          <w:highlight w:val="none"/>
          <w:u w:val="single"/>
        </w:rPr>
        <w:t xml:space="preserve">元/人•次的违约金，其他管理人员每缺勤一天处罚 </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b/>
          <w:color w:val="auto"/>
          <w:kern w:val="1"/>
          <w:sz w:val="24"/>
          <w:highlight w:val="none"/>
          <w:u w:val="single"/>
        </w:rPr>
        <w:t xml:space="preserve"> 元/人•次的违约金</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rPr>
        <w:t>（承包人不得以主要施工管理人员离职，生病为由拒绝支付违约金）。</w:t>
      </w:r>
    </w:p>
    <w:p w14:paraId="39D9675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承包人承担上述违约给发包人造成的一切损失。上述违约金以汇款的方式，在作出违约处罚7日内上缴到发包方指定账户，如未如期缴纳，将承担由此带来的违约责任并补缴由此产生的滞纳金。发包人有权从进度款或其他款项中直接扣除。</w:t>
      </w:r>
    </w:p>
    <w:p w14:paraId="0FCC77C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34" w:name="_Toc292559364"/>
      <w:bookmarkEnd w:id="834"/>
      <w:bookmarkStart w:id="835" w:name="_Toc296347158"/>
      <w:bookmarkEnd w:id="835"/>
      <w:bookmarkStart w:id="836" w:name="_Toc312677988"/>
      <w:bookmarkEnd w:id="836"/>
      <w:bookmarkStart w:id="837" w:name="_Toc292559869"/>
      <w:bookmarkEnd w:id="837"/>
      <w:bookmarkStart w:id="838" w:name="_Toc303539102"/>
      <w:bookmarkEnd w:id="838"/>
      <w:bookmarkStart w:id="839" w:name="_Toc304295523"/>
      <w:bookmarkEnd w:id="839"/>
      <w:bookmarkStart w:id="840" w:name="_Toc296346660"/>
      <w:bookmarkEnd w:id="840"/>
      <w:bookmarkStart w:id="841" w:name="_Toc296890987"/>
      <w:bookmarkEnd w:id="841"/>
      <w:bookmarkStart w:id="842" w:name="_Toc297216151"/>
      <w:bookmarkEnd w:id="842"/>
      <w:bookmarkStart w:id="843" w:name="_Toc297123492"/>
      <w:bookmarkEnd w:id="843"/>
      <w:bookmarkStart w:id="844" w:name="_Toc296891199"/>
      <w:bookmarkEnd w:id="844"/>
      <w:bookmarkStart w:id="845" w:name="_Toc300934945"/>
      <w:bookmarkEnd w:id="845"/>
      <w:bookmarkStart w:id="846" w:name="_Toc297048345"/>
      <w:bookmarkEnd w:id="846"/>
      <w:bookmarkStart w:id="847" w:name="_Toc297120459"/>
      <w:bookmarkEnd w:id="847"/>
      <w:bookmarkStart w:id="848" w:name="_Toc296503159"/>
      <w:bookmarkEnd w:id="848"/>
      <w:bookmarkStart w:id="849" w:name="_Toc296944498"/>
      <w:bookmarkEnd w:id="849"/>
      <w:r>
        <w:rPr>
          <w:rFonts w:hint="eastAsia" w:ascii="仿宋" w:hAnsi="仿宋" w:eastAsia="仿宋" w:cs="仿宋"/>
          <w:color w:val="auto"/>
          <w:kern w:val="1"/>
          <w:sz w:val="24"/>
          <w:highlight w:val="none"/>
        </w:rPr>
        <w:t>.4 分包</w:t>
      </w:r>
    </w:p>
    <w:p w14:paraId="09D5FC9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50" w:name="_Toc296346661"/>
      <w:bookmarkEnd w:id="850"/>
      <w:bookmarkStart w:id="851" w:name="_Toc318581158"/>
      <w:bookmarkEnd w:id="851"/>
      <w:bookmarkStart w:id="852" w:name="_Toc300934946"/>
      <w:bookmarkEnd w:id="852"/>
      <w:bookmarkStart w:id="853" w:name="_Toc296891200"/>
      <w:bookmarkEnd w:id="853"/>
      <w:bookmarkStart w:id="854" w:name="_Toc296503160"/>
      <w:bookmarkEnd w:id="854"/>
      <w:bookmarkStart w:id="855" w:name="_Toc312677989"/>
      <w:bookmarkEnd w:id="855"/>
      <w:bookmarkStart w:id="856" w:name="_Toc296944499"/>
      <w:bookmarkEnd w:id="856"/>
      <w:bookmarkStart w:id="857" w:name="_Toc297123493"/>
      <w:bookmarkEnd w:id="857"/>
      <w:bookmarkStart w:id="858" w:name="_Toc296890988"/>
      <w:bookmarkEnd w:id="858"/>
      <w:bookmarkStart w:id="859" w:name="_Toc297216152"/>
      <w:bookmarkEnd w:id="859"/>
      <w:bookmarkStart w:id="860" w:name="_Toc297048346"/>
      <w:bookmarkEnd w:id="860"/>
      <w:bookmarkStart w:id="861" w:name="_Toc297120460"/>
      <w:bookmarkEnd w:id="861"/>
      <w:bookmarkStart w:id="862" w:name="_Toc292559365"/>
      <w:bookmarkEnd w:id="862"/>
      <w:bookmarkStart w:id="863" w:name="_Toc304295524"/>
      <w:bookmarkEnd w:id="863"/>
      <w:bookmarkStart w:id="864" w:name="_Toc292559870"/>
      <w:bookmarkEnd w:id="864"/>
      <w:bookmarkStart w:id="865" w:name="_Toc303539103"/>
      <w:bookmarkEnd w:id="865"/>
      <w:bookmarkStart w:id="866" w:name="_Toc296347159"/>
      <w:bookmarkEnd w:id="866"/>
      <w:r>
        <w:rPr>
          <w:rFonts w:hint="eastAsia" w:ascii="仿宋" w:hAnsi="仿宋" w:eastAsia="仿宋" w:cs="仿宋"/>
          <w:color w:val="auto"/>
          <w:kern w:val="1"/>
          <w:sz w:val="24"/>
          <w:highlight w:val="none"/>
        </w:rPr>
        <w:t>.4.1 分包的一般约定</w:t>
      </w:r>
    </w:p>
    <w:p w14:paraId="13FD84D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禁止分包的工程包括：</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p>
    <w:p w14:paraId="480C462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主体结构、关键性工作的范围：</w:t>
      </w:r>
      <w:r>
        <w:rPr>
          <w:rFonts w:hint="eastAsia" w:ascii="仿宋" w:hAnsi="仿宋" w:eastAsia="仿宋" w:cs="仿宋"/>
          <w:color w:val="auto"/>
          <w:kern w:val="1"/>
          <w:sz w:val="24"/>
          <w:highlight w:val="none"/>
          <w:u w:val="single"/>
          <w:lang w:val="en-US" w:eastAsia="zh-CN"/>
        </w:rPr>
        <w:t xml:space="preserve">   </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bookmarkStart w:id="867" w:name="_Toc297216153"/>
      <w:bookmarkEnd w:id="867"/>
      <w:bookmarkStart w:id="868" w:name="_Toc303539104"/>
      <w:bookmarkEnd w:id="868"/>
      <w:bookmarkStart w:id="869" w:name="_Toc296347160"/>
      <w:bookmarkEnd w:id="869"/>
      <w:bookmarkStart w:id="870" w:name="_Toc296503161"/>
      <w:bookmarkEnd w:id="870"/>
      <w:bookmarkStart w:id="871" w:name="_Toc297120461"/>
      <w:bookmarkEnd w:id="871"/>
      <w:bookmarkStart w:id="872" w:name="_Toc304295525"/>
      <w:bookmarkEnd w:id="872"/>
      <w:bookmarkStart w:id="873" w:name="_Toc297048347"/>
      <w:bookmarkEnd w:id="873"/>
      <w:bookmarkStart w:id="874" w:name="_Toc296944500"/>
      <w:bookmarkEnd w:id="874"/>
      <w:bookmarkStart w:id="875" w:name="_Toc296346662"/>
      <w:bookmarkEnd w:id="875"/>
      <w:bookmarkStart w:id="876" w:name="_Toc296891201"/>
      <w:bookmarkEnd w:id="876"/>
      <w:bookmarkStart w:id="877" w:name="_Toc300934947"/>
      <w:bookmarkEnd w:id="877"/>
      <w:bookmarkStart w:id="878" w:name="_Toc296890989"/>
      <w:bookmarkEnd w:id="878"/>
      <w:bookmarkStart w:id="879" w:name="_Toc297123494"/>
      <w:bookmarkEnd w:id="879"/>
    </w:p>
    <w:p w14:paraId="0D992FF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80" w:name="_Toc312677990"/>
      <w:bookmarkEnd w:id="880"/>
      <w:bookmarkStart w:id="881" w:name="_Toc318581159"/>
      <w:bookmarkEnd w:id="881"/>
      <w:r>
        <w:rPr>
          <w:rFonts w:hint="eastAsia" w:ascii="仿宋" w:hAnsi="仿宋" w:eastAsia="仿宋" w:cs="仿宋"/>
          <w:color w:val="auto"/>
          <w:kern w:val="1"/>
          <w:sz w:val="24"/>
          <w:highlight w:val="none"/>
        </w:rPr>
        <w:t>.4.2分包的确定</w:t>
      </w:r>
    </w:p>
    <w:p w14:paraId="6C42E8B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允许分包的专业工程包括：</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p>
    <w:p w14:paraId="6167028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其他关于分包的约定：</w:t>
      </w:r>
      <w:r>
        <w:rPr>
          <w:rFonts w:hint="eastAsia" w:ascii="仿宋" w:hAnsi="仿宋" w:eastAsia="仿宋" w:cs="仿宋"/>
          <w:color w:val="auto"/>
          <w:kern w:val="1"/>
          <w:sz w:val="24"/>
          <w:highlight w:val="none"/>
          <w:u w:val="single"/>
        </w:rPr>
        <w:t xml:space="preserve">     不允许非法分包              </w:t>
      </w:r>
      <w:r>
        <w:rPr>
          <w:rFonts w:hint="eastAsia" w:ascii="仿宋" w:hAnsi="仿宋" w:eastAsia="仿宋" w:cs="仿宋"/>
          <w:color w:val="auto"/>
          <w:kern w:val="1"/>
          <w:sz w:val="24"/>
          <w:highlight w:val="none"/>
        </w:rPr>
        <w:t>。</w:t>
      </w:r>
    </w:p>
    <w:p w14:paraId="5529ED3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3.4.3 分包合同价款</w:t>
      </w:r>
    </w:p>
    <w:p w14:paraId="0A4A7C3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关于分包合同价款支付的约定：</w:t>
      </w:r>
      <w:r>
        <w:rPr>
          <w:rFonts w:hint="eastAsia" w:ascii="仿宋" w:hAnsi="仿宋" w:eastAsia="仿宋" w:cs="仿宋"/>
          <w:color w:val="auto"/>
          <w:kern w:val="1"/>
          <w:sz w:val="24"/>
          <w:highlight w:val="none"/>
          <w:u w:val="single"/>
        </w:rPr>
        <w:t xml:space="preserve">  不允许非法分包    </w:t>
      </w:r>
      <w:r>
        <w:rPr>
          <w:rFonts w:hint="eastAsia" w:ascii="仿宋" w:hAnsi="仿宋" w:eastAsia="仿宋" w:cs="仿宋"/>
          <w:color w:val="auto"/>
          <w:kern w:val="1"/>
          <w:sz w:val="24"/>
          <w:highlight w:val="none"/>
        </w:rPr>
        <w:t>。</w:t>
      </w:r>
    </w:p>
    <w:p w14:paraId="0C79D1E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3.5 工程照管与成品、半成品保护</w:t>
      </w:r>
    </w:p>
    <w:p w14:paraId="1EC7C0A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承包人负责照管工程及工程相关的材料、工程设备的起始时间：</w:t>
      </w:r>
      <w:r>
        <w:rPr>
          <w:rFonts w:hint="eastAsia" w:ascii="仿宋" w:hAnsi="仿宋" w:eastAsia="仿宋" w:cs="仿宋"/>
          <w:color w:val="auto"/>
          <w:kern w:val="1"/>
          <w:sz w:val="24"/>
          <w:highlight w:val="none"/>
          <w:u w:val="single"/>
        </w:rPr>
        <w:t>进驻施工现场之日</w:t>
      </w:r>
      <w:r>
        <w:rPr>
          <w:rFonts w:hint="eastAsia" w:ascii="仿宋" w:hAnsi="仿宋" w:eastAsia="仿宋" w:cs="仿宋"/>
          <w:color w:val="auto"/>
          <w:kern w:val="1"/>
          <w:sz w:val="24"/>
          <w:highlight w:val="none"/>
        </w:rPr>
        <w:t>。</w:t>
      </w:r>
    </w:p>
    <w:p w14:paraId="3C1844E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3.6 履约担保</w:t>
      </w:r>
    </w:p>
    <w:p w14:paraId="28C487A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承包人是否提供履约担保：</w:t>
      </w:r>
      <w:r>
        <w:rPr>
          <w:rFonts w:hint="eastAsia" w:ascii="仿宋" w:hAnsi="仿宋" w:eastAsia="仿宋" w:cs="仿宋"/>
          <w:color w:val="auto"/>
          <w:kern w:val="1"/>
          <w:sz w:val="24"/>
          <w:highlight w:val="none"/>
          <w:u w:val="single"/>
        </w:rPr>
        <w:t>提供。</w:t>
      </w:r>
      <w:r>
        <w:rPr>
          <w:rFonts w:hint="eastAsia" w:ascii="仿宋" w:hAnsi="仿宋" w:eastAsia="仿宋" w:cs="仿宋"/>
          <w:color w:val="auto"/>
          <w:kern w:val="1"/>
          <w:sz w:val="24"/>
          <w:highlight w:val="none"/>
        </w:rPr>
        <w:t xml:space="preserve">  </w:t>
      </w:r>
    </w:p>
    <w:p w14:paraId="76E32F42">
      <w:pPr>
        <w:pStyle w:val="50"/>
        <w:spacing w:before="0" w:beforeAutospacing="0" w:after="0" w:afterAutospacing="0" w:line="360" w:lineRule="exact"/>
        <w:ind w:firstLine="482" w:firstLineChars="200"/>
        <w:jc w:val="both"/>
        <w:rPr>
          <w:rFonts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履约担保的形式为：</w:t>
      </w:r>
      <w:r>
        <w:rPr>
          <w:rFonts w:hint="eastAsia" w:ascii="仿宋" w:hAnsi="仿宋" w:eastAsia="仿宋" w:cs="仿宋"/>
          <w:bCs w:val="0"/>
          <w:snapToGrid w:val="0"/>
          <w:color w:val="auto"/>
          <w:sz w:val="24"/>
          <w:szCs w:val="24"/>
          <w:highlight w:val="none"/>
          <w:u w:val="single"/>
          <w:lang w:val="en-US" w:eastAsia="zh-CN"/>
        </w:rPr>
        <w:t>☑</w:t>
      </w:r>
      <w:r>
        <w:rPr>
          <w:rFonts w:hint="eastAsia" w:ascii="仿宋" w:hAnsi="仿宋" w:eastAsia="仿宋" w:cs="仿宋"/>
          <w:bCs w:val="0"/>
          <w:snapToGrid w:val="0"/>
          <w:color w:val="auto"/>
          <w:sz w:val="24"/>
          <w:szCs w:val="24"/>
          <w:highlight w:val="none"/>
          <w:u w:val="single"/>
        </w:rPr>
        <w:t xml:space="preserve">转账 </w:t>
      </w:r>
      <w:r>
        <w:rPr>
          <w:rFonts w:hint="eastAsia" w:ascii="仿宋" w:hAnsi="仿宋" w:eastAsia="仿宋" w:cs="仿宋"/>
          <w:bCs w:val="0"/>
          <w:snapToGrid w:val="0"/>
          <w:color w:val="auto"/>
          <w:sz w:val="24"/>
          <w:szCs w:val="24"/>
          <w:highlight w:val="none"/>
          <w:u w:val="single"/>
          <w:lang w:val="en-US" w:eastAsia="zh-CN"/>
        </w:rPr>
        <w:t>☑</w:t>
      </w:r>
      <w:r>
        <w:rPr>
          <w:rFonts w:hint="eastAsia" w:ascii="仿宋" w:hAnsi="仿宋" w:eastAsia="仿宋" w:cs="仿宋"/>
          <w:bCs w:val="0"/>
          <w:snapToGrid w:val="0"/>
          <w:color w:val="auto"/>
          <w:sz w:val="24"/>
          <w:szCs w:val="24"/>
          <w:highlight w:val="none"/>
          <w:u w:val="single"/>
        </w:rPr>
        <w:t xml:space="preserve">电汇 </w:t>
      </w:r>
    </w:p>
    <w:p w14:paraId="4843CB3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履约担保的金额：</w:t>
      </w:r>
      <w:r>
        <w:rPr>
          <w:rFonts w:hint="eastAsia" w:ascii="仿宋" w:hAnsi="仿宋" w:eastAsia="仿宋" w:cs="仿宋"/>
          <w:color w:val="auto"/>
          <w:kern w:val="1"/>
          <w:sz w:val="24"/>
          <w:highlight w:val="none"/>
          <w:u w:val="single"/>
        </w:rPr>
        <w:t>本项目履约担保金额为中标价的2%。</w:t>
      </w:r>
    </w:p>
    <w:p w14:paraId="7D28B4C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①采用转账、网银支付担保的，中标人在中标通知书发出后 15 日内，必须办结完成从</w:t>
      </w:r>
      <w:r>
        <w:rPr>
          <w:rFonts w:hint="eastAsia" w:ascii="仿宋" w:hAnsi="仿宋" w:eastAsia="仿宋" w:cs="仿宋"/>
          <w:color w:val="auto"/>
          <w:kern w:val="1"/>
          <w:sz w:val="24"/>
          <w:highlight w:val="none"/>
          <w:lang w:eastAsia="zh-CN"/>
        </w:rPr>
        <w:t>承包人</w:t>
      </w:r>
      <w:r>
        <w:rPr>
          <w:rFonts w:hint="eastAsia" w:ascii="仿宋" w:hAnsi="仿宋" w:eastAsia="仿宋" w:cs="仿宋"/>
          <w:color w:val="auto"/>
          <w:kern w:val="1"/>
          <w:sz w:val="24"/>
          <w:highlight w:val="none"/>
        </w:rPr>
        <w:t>基本账户所有转账手续（以</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收到款额凭证载明的日期为准）；</w:t>
      </w:r>
    </w:p>
    <w:p w14:paraId="4808F89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w:t>
      </w:r>
      <w:r>
        <w:rPr>
          <w:rFonts w:hint="eastAsia" w:ascii="仿宋" w:hAnsi="仿宋" w:eastAsia="仿宋" w:cs="仿宋"/>
          <w:b/>
          <w:color w:val="auto"/>
          <w:kern w:val="1"/>
          <w:sz w:val="24"/>
          <w:highlight w:val="none"/>
        </w:rPr>
        <w:t>采用银行保函担保的，中标人在中标通知书发出后15日内，向</w:t>
      </w:r>
      <w:r>
        <w:rPr>
          <w:rFonts w:hint="eastAsia" w:ascii="仿宋" w:hAnsi="仿宋" w:eastAsia="仿宋" w:cs="仿宋"/>
          <w:b/>
          <w:color w:val="auto"/>
          <w:kern w:val="1"/>
          <w:sz w:val="24"/>
          <w:highlight w:val="none"/>
          <w:lang w:eastAsia="zh-CN"/>
        </w:rPr>
        <w:t>发包人</w:t>
      </w:r>
      <w:r>
        <w:rPr>
          <w:rFonts w:hint="eastAsia" w:ascii="仿宋" w:hAnsi="仿宋" w:eastAsia="仿宋" w:cs="仿宋"/>
          <w:b/>
          <w:color w:val="auto"/>
          <w:kern w:val="1"/>
          <w:sz w:val="24"/>
          <w:highlight w:val="none"/>
        </w:rPr>
        <w:t>递交办结的大于施工工期的不可撤销见索即付的银行保函（以</w:t>
      </w:r>
      <w:r>
        <w:rPr>
          <w:rFonts w:hint="eastAsia" w:ascii="仿宋" w:hAnsi="仿宋" w:eastAsia="仿宋" w:cs="仿宋"/>
          <w:b/>
          <w:color w:val="auto"/>
          <w:kern w:val="1"/>
          <w:sz w:val="24"/>
          <w:highlight w:val="none"/>
          <w:lang w:eastAsia="zh-CN"/>
        </w:rPr>
        <w:t>发包人</w:t>
      </w:r>
      <w:r>
        <w:rPr>
          <w:rFonts w:hint="eastAsia" w:ascii="仿宋" w:hAnsi="仿宋" w:eastAsia="仿宋" w:cs="仿宋"/>
          <w:b/>
          <w:color w:val="auto"/>
          <w:kern w:val="1"/>
          <w:sz w:val="24"/>
          <w:highlight w:val="none"/>
        </w:rPr>
        <w:t>收到保函的日期为准）</w:t>
      </w:r>
      <w:r>
        <w:rPr>
          <w:rFonts w:hint="eastAsia" w:ascii="仿宋" w:hAnsi="仿宋" w:eastAsia="仿宋" w:cs="仿宋"/>
          <w:color w:val="auto"/>
          <w:kern w:val="1"/>
          <w:sz w:val="24"/>
          <w:highlight w:val="none"/>
        </w:rPr>
        <w:t>；</w:t>
      </w:r>
    </w:p>
    <w:p w14:paraId="09B98A2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3、提交时间：在上述规定时间内提交。否则，</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有权取消其成交资格，由此造成的损失由中标人承担。</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保留继续追究中标人赔偿的权利。</w:t>
      </w:r>
    </w:p>
    <w:p w14:paraId="641768F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4、退还方式及时间：①采用转账的，项目范围内全部工程竣工验收合格之日扣除相关违约金后退还。②采用银行保函的，保函有效期自开立之日起至施工合同约定的缺陷责任期后，追偿相关违约金后保函失效。</w:t>
      </w:r>
    </w:p>
    <w:p w14:paraId="702D4C8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账户信息：开户名称：</w:t>
      </w:r>
    </w:p>
    <w:p w14:paraId="70DED43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开户银行：</w:t>
      </w:r>
    </w:p>
    <w:p w14:paraId="177AC2D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银行账号：</w:t>
      </w:r>
    </w:p>
    <w:p w14:paraId="2A743FC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依法定或约定事由解除本合同的，有权没收履约保证金。</w:t>
      </w:r>
    </w:p>
    <w:p w14:paraId="5C1636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出具银行保函的银行必须为国有商业银行或股份制商业银行的支行及其以上级别银行。如遇工程延期超出原履约担保有效期，承包人应向担保银行申请重新开具保函或将原保函有效期延长（为避免歧义，不论工程延期的原因为何，只要工程出现延期情况，承包人均应向担保银行申请重新开具保函、保险或将原保函、保险有效期延长）。出具履约担保（包括延期）所需费用由承包人自行承担。</w:t>
      </w:r>
    </w:p>
    <w:p w14:paraId="2EBBF021">
      <w:pPr>
        <w:spacing w:line="3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kern w:val="1"/>
          <w:sz w:val="24"/>
          <w:highlight w:val="none"/>
        </w:rPr>
        <w:t>凡出现履约保证金不足额之情形，承包人应在 10 日内补足，否则，发包人有权单方面解除本合同，并没收履约保证金（不足部分，由承包人补足、支付发包人）</w:t>
      </w:r>
      <w:r>
        <w:rPr>
          <w:rFonts w:hint="eastAsia" w:ascii="仿宋" w:hAnsi="仿宋" w:eastAsia="仿宋" w:cs="仿宋"/>
          <w:color w:val="auto"/>
          <w:kern w:val="1"/>
          <w:sz w:val="24"/>
          <w:highlight w:val="none"/>
          <w:lang w:eastAsia="zh-CN"/>
        </w:rPr>
        <w:t>。</w:t>
      </w:r>
    </w:p>
    <w:p w14:paraId="04202AE2">
      <w:pPr>
        <w:spacing w:line="360" w:lineRule="exact"/>
        <w:ind w:firstLine="480" w:firstLineChars="200"/>
        <w:rPr>
          <w:rFonts w:ascii="仿宋" w:hAnsi="仿宋" w:eastAsia="仿宋" w:cs="仿宋"/>
          <w:color w:val="auto"/>
          <w:kern w:val="1"/>
          <w:sz w:val="24"/>
          <w:highlight w:val="none"/>
        </w:rPr>
      </w:pPr>
      <w:bookmarkStart w:id="882" w:name="_Toc351203636"/>
      <w:bookmarkEnd w:id="882"/>
      <w:r>
        <w:rPr>
          <w:rFonts w:hint="eastAsia" w:ascii="仿宋" w:hAnsi="仿宋" w:eastAsia="仿宋" w:cs="仿宋"/>
          <w:color w:val="auto"/>
          <w:kern w:val="1"/>
          <w:sz w:val="24"/>
          <w:highlight w:val="none"/>
        </w:rPr>
        <w:t>4</w:t>
      </w:r>
      <w:bookmarkStart w:id="883" w:name="_Toc267251413"/>
      <w:bookmarkEnd w:id="883"/>
      <w:bookmarkStart w:id="884" w:name="_Toc297120462"/>
      <w:bookmarkEnd w:id="884"/>
      <w:bookmarkStart w:id="885" w:name="_Toc292559366"/>
      <w:bookmarkEnd w:id="885"/>
      <w:bookmarkStart w:id="886" w:name="_Toc292559871"/>
      <w:bookmarkEnd w:id="886"/>
      <w:bookmarkStart w:id="887" w:name="_Toc296944501"/>
      <w:bookmarkEnd w:id="887"/>
      <w:bookmarkStart w:id="888" w:name="_Toc297048348"/>
      <w:bookmarkEnd w:id="888"/>
      <w:bookmarkStart w:id="889" w:name="_Toc296347161"/>
      <w:bookmarkEnd w:id="889"/>
      <w:bookmarkStart w:id="890" w:name="_Toc296891202"/>
      <w:bookmarkEnd w:id="890"/>
      <w:bookmarkStart w:id="891" w:name="_Toc296890990"/>
      <w:bookmarkEnd w:id="891"/>
      <w:bookmarkStart w:id="892" w:name="_Toc296503162"/>
      <w:bookmarkEnd w:id="892"/>
      <w:bookmarkStart w:id="893" w:name="_Toc296346663"/>
      <w:bookmarkEnd w:id="893"/>
      <w:r>
        <w:rPr>
          <w:rFonts w:hint="eastAsia" w:ascii="仿宋" w:hAnsi="仿宋" w:eastAsia="仿宋" w:cs="仿宋"/>
          <w:color w:val="auto"/>
          <w:kern w:val="1"/>
          <w:sz w:val="24"/>
          <w:highlight w:val="none"/>
        </w:rPr>
        <w:t>. 监理人</w:t>
      </w:r>
    </w:p>
    <w:p w14:paraId="421EF1C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4.1监理人的一般规定</w:t>
      </w:r>
    </w:p>
    <w:p w14:paraId="6F72B06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关于监理人的监理内容：包括但不限于以下内容：</w:t>
      </w:r>
    </w:p>
    <w:p w14:paraId="531F2C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（1）工程质量控制：</w:t>
      </w:r>
      <w:r>
        <w:rPr>
          <w:rFonts w:hint="eastAsia" w:ascii="仿宋" w:hAnsi="仿宋" w:eastAsia="仿宋" w:cs="仿宋"/>
          <w:color w:val="auto"/>
          <w:kern w:val="1"/>
          <w:sz w:val="24"/>
          <w:highlight w:val="none"/>
          <w:u w:val="single"/>
        </w:rPr>
        <w:t>审查承包人的质量保证体系和控制措施，依据施工承包合同、设计文件、技术规范与质量检验验收标准，对施工质量进行全面控制和检查。按有关规定对工程质量进行检查、签证和验收。协助发包人调查处理工程质量事故等。</w:t>
      </w:r>
    </w:p>
    <w:p w14:paraId="310081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（2）工程进度控制：</w:t>
      </w:r>
      <w:r>
        <w:rPr>
          <w:rFonts w:hint="eastAsia" w:ascii="仿宋" w:hAnsi="仿宋" w:eastAsia="仿宋" w:cs="仿宋"/>
          <w:color w:val="auto"/>
          <w:kern w:val="1"/>
          <w:sz w:val="24"/>
          <w:highlight w:val="none"/>
          <w:u w:val="single"/>
        </w:rPr>
        <w:t>审查承包人提交的工程进度计划并提交发包人批准，以此作为工程进度控制的依据，督促承包人采取切实措施实现合同工期要求。</w:t>
      </w:r>
    </w:p>
    <w:p w14:paraId="75A0D00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（3）工程投资控制：</w:t>
      </w:r>
      <w:r>
        <w:rPr>
          <w:rFonts w:hint="eastAsia" w:ascii="仿宋" w:hAnsi="仿宋" w:eastAsia="仿宋" w:cs="仿宋"/>
          <w:color w:val="auto"/>
          <w:kern w:val="1"/>
          <w:sz w:val="24"/>
          <w:highlight w:val="none"/>
          <w:u w:val="single"/>
        </w:rPr>
        <w:t>审核承包人完成的工程量和价款，签署付款建议；对合同变更或增加项目，</w:t>
      </w:r>
      <w:r>
        <w:rPr>
          <w:rFonts w:hint="eastAsia" w:ascii="仿宋" w:hAnsi="仿宋" w:eastAsia="仿宋" w:cs="仿宋"/>
          <w:b/>
          <w:color w:val="auto"/>
          <w:kern w:val="1"/>
          <w:sz w:val="24"/>
          <w:highlight w:val="none"/>
          <w:u w:val="single"/>
        </w:rPr>
        <w:t>按照本合同有效签证约定</w:t>
      </w:r>
      <w:r>
        <w:rPr>
          <w:rFonts w:hint="eastAsia" w:ascii="仿宋" w:hAnsi="仿宋" w:eastAsia="仿宋" w:cs="仿宋"/>
          <w:color w:val="auto"/>
          <w:kern w:val="1"/>
          <w:sz w:val="24"/>
          <w:highlight w:val="none"/>
          <w:u w:val="single"/>
        </w:rPr>
        <w:t>提出初审意见，报发包人审批确定。受理索赔申请，进行索赔调查，提出处理意见等。</w:t>
      </w:r>
    </w:p>
    <w:p w14:paraId="249FCF8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（4）施工安全监督：</w:t>
      </w:r>
      <w:r>
        <w:rPr>
          <w:rFonts w:hint="eastAsia" w:ascii="仿宋" w:hAnsi="仿宋" w:eastAsia="仿宋" w:cs="仿宋"/>
          <w:color w:val="auto"/>
          <w:kern w:val="1"/>
          <w:sz w:val="24"/>
          <w:highlight w:val="none"/>
          <w:u w:val="single"/>
        </w:rPr>
        <w:t>督促并检查承包人建立施工安全体系，完善安全措施、劳动防护和环境保护设施等，整个施工过程中定期和不定期检查、突击抽查安全施工和设备安全运行，发现安全事故隐患时有权直接下达停工令等。</w:t>
      </w:r>
    </w:p>
    <w:p w14:paraId="4D009B4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（5）合同管理：</w:t>
      </w:r>
      <w:r>
        <w:rPr>
          <w:rFonts w:hint="eastAsia" w:ascii="仿宋" w:hAnsi="仿宋" w:eastAsia="仿宋" w:cs="仿宋"/>
          <w:color w:val="auto"/>
          <w:kern w:val="1"/>
          <w:sz w:val="24"/>
          <w:highlight w:val="none"/>
          <w:u w:val="single"/>
        </w:rPr>
        <w:t>项目监理机构应依据建设工程监理合同约定进行施工合同管理，处理工程暂停及复工、工程变更、索赔及施工合同争议、解除等事宜。</w:t>
      </w:r>
    </w:p>
    <w:p w14:paraId="0DAE0AF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（6）档案资料管理：</w:t>
      </w:r>
      <w:r>
        <w:rPr>
          <w:rFonts w:hint="eastAsia" w:ascii="仿宋" w:hAnsi="仿宋" w:eastAsia="仿宋" w:cs="仿宋"/>
          <w:color w:val="auto"/>
          <w:kern w:val="1"/>
          <w:sz w:val="24"/>
          <w:highlight w:val="none"/>
          <w:u w:val="single"/>
        </w:rPr>
        <w:t>对工程资料及档案及时进行整编，并在工程竣工验收时移交发包人。资料的归档和备案必须按照当地建设行政主管部门的规定执行，并承担此规定中的所有权力、义务和责任（包括处罚）。</w:t>
      </w:r>
    </w:p>
    <w:p w14:paraId="4860327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（7）现场文明施工管理、协调工作：</w:t>
      </w:r>
      <w:r>
        <w:rPr>
          <w:rFonts w:hint="eastAsia" w:ascii="仿宋" w:hAnsi="仿宋" w:eastAsia="仿宋" w:cs="仿宋"/>
          <w:color w:val="auto"/>
          <w:kern w:val="1"/>
          <w:sz w:val="24"/>
          <w:highlight w:val="none"/>
          <w:u w:val="single"/>
        </w:rPr>
        <w:t>全方位监督管理施工现场，协调发包人与承包人的相互配合关系，编发会议纪要并检查落实等。</w:t>
      </w:r>
    </w:p>
    <w:p w14:paraId="27E5455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（8）督促发包人按施工承包合同的规定落实必须提供的施工条件，检查工程承包人的</w:t>
      </w:r>
      <w:r>
        <w:rPr>
          <w:rFonts w:hint="eastAsia" w:ascii="仿宋" w:hAnsi="仿宋" w:eastAsia="仿宋" w:cs="仿宋"/>
          <w:color w:val="auto"/>
          <w:kern w:val="1"/>
          <w:sz w:val="24"/>
          <w:highlight w:val="none"/>
          <w:u w:val="single"/>
        </w:rPr>
        <w:t>开工准备工作（包括施工安全体系），具备开工条件后，征得发包人同意，签发开工通知。</w:t>
      </w:r>
    </w:p>
    <w:p w14:paraId="7BF4B27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（9）审查承包人递交的施工组织设计、计划、临建工程布置等。</w:t>
      </w:r>
    </w:p>
    <w:p w14:paraId="301B556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（10）研究、讨论、答复承包人提出的建议和意见。</w:t>
      </w:r>
    </w:p>
    <w:p w14:paraId="4A3789B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（11）按有关规定进行验收，核查、签证承包人编制的竣工图纸和资料等。</w:t>
      </w:r>
    </w:p>
    <w:p w14:paraId="00D6399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（12）发包人授权的其他监理内容，具体按监理合同执行。</w:t>
      </w:r>
    </w:p>
    <w:p w14:paraId="3A69C46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关于监理人的监理权限：</w:t>
      </w:r>
      <w:r>
        <w:rPr>
          <w:rFonts w:hint="eastAsia" w:ascii="仿宋" w:hAnsi="仿宋" w:eastAsia="仿宋" w:cs="仿宋"/>
          <w:color w:val="auto"/>
          <w:kern w:val="1"/>
          <w:sz w:val="24"/>
          <w:highlight w:val="none"/>
          <w:u w:val="single"/>
        </w:rPr>
        <w:t>工程建设监理合同授予监理人的所有权利，即按监理合同内容要求，依据监理规范对工程的质量、进度、安全措施进行监督和控制，并协调参与项目的各施工单位关系。但监理人需要取得发包人批准才能行使以下权限：</w:t>
      </w:r>
    </w:p>
    <w:p w14:paraId="111C915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（1）单方面确定合同变更、增加项目；</w:t>
      </w:r>
    </w:p>
    <w:p w14:paraId="1CC637C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（2）向承包人支付的各种款项的签付；</w:t>
      </w:r>
    </w:p>
    <w:p w14:paraId="6A8FF2E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（3）因某一合同事件，需要顺延工期或增加工程价款；</w:t>
      </w:r>
    </w:p>
    <w:p w14:paraId="6E70332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（4）任何作为结算依据的工程量、工程综合单价的确认；</w:t>
      </w:r>
    </w:p>
    <w:p w14:paraId="7CFAD6F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（5）开工、暂停工程施工、复工指令的下达等。</w:t>
      </w:r>
    </w:p>
    <w:p w14:paraId="658CD6C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关于监理人在施工现场的办公场所、生活场所的提供和费用承担的约定：</w:t>
      </w:r>
      <w:r>
        <w:rPr>
          <w:rFonts w:hint="eastAsia" w:ascii="仿宋" w:hAnsi="仿宋" w:eastAsia="仿宋" w:cs="仿宋"/>
          <w:color w:val="auto"/>
          <w:kern w:val="1"/>
          <w:sz w:val="24"/>
          <w:highlight w:val="none"/>
          <w:u w:val="single"/>
        </w:rPr>
        <w:t>监理人在施工现场的办公场所、生活场所由承包人提供，所发生的费用由承包人承担。</w:t>
      </w:r>
    </w:p>
    <w:p w14:paraId="42A8486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4.2 监理人员</w:t>
      </w:r>
    </w:p>
    <w:p w14:paraId="7DF7579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总监理工程师：</w:t>
      </w:r>
    </w:p>
    <w:p w14:paraId="413F9D1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5CFCF7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职    务：</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026982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监理工程师执业资格证书号：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4D8A29E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051DA19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2790187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2F1470C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关于监理人的其他约定：</w:t>
      </w:r>
      <w:r>
        <w:rPr>
          <w:rFonts w:hint="eastAsia" w:ascii="仿宋" w:hAnsi="仿宋" w:eastAsia="仿宋" w:cs="仿宋"/>
          <w:color w:val="auto"/>
          <w:kern w:val="1"/>
          <w:sz w:val="24"/>
          <w:highlight w:val="none"/>
          <w:u w:val="single"/>
        </w:rPr>
        <w:t>执行监理合同 </w:t>
      </w:r>
      <w:r>
        <w:rPr>
          <w:rFonts w:hint="eastAsia" w:ascii="仿宋" w:hAnsi="仿宋" w:eastAsia="仿宋" w:cs="仿宋"/>
          <w:color w:val="auto"/>
          <w:kern w:val="1"/>
          <w:sz w:val="24"/>
          <w:highlight w:val="none"/>
        </w:rPr>
        <w:t>。</w:t>
      </w:r>
    </w:p>
    <w:p w14:paraId="57323D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4.3 商定或确定</w:t>
      </w:r>
    </w:p>
    <w:p w14:paraId="04634D31">
      <w:pPr>
        <w:spacing w:line="360" w:lineRule="exact"/>
        <w:ind w:firstLine="480" w:firstLineChars="200"/>
        <w:rPr>
          <w:rFonts w:ascii="仿宋" w:hAnsi="仿宋" w:eastAsia="仿宋" w:cs="仿宋"/>
          <w:color w:val="auto"/>
          <w:kern w:val="1"/>
          <w:sz w:val="24"/>
          <w:highlight w:val="none"/>
        </w:rPr>
      </w:pPr>
      <w:bookmarkStart w:id="894" w:name="_Toc267251418"/>
      <w:bookmarkEnd w:id="894"/>
      <w:r>
        <w:rPr>
          <w:rFonts w:hint="eastAsia" w:ascii="仿宋" w:hAnsi="仿宋" w:eastAsia="仿宋" w:cs="仿宋"/>
          <w:color w:val="auto"/>
          <w:kern w:val="1"/>
          <w:sz w:val="24"/>
          <w:highlight w:val="none"/>
        </w:rPr>
        <w:t>在发包人和承包人不能通过协商达成一致意见时，发包人授权监理人对以下事项进行确定：</w:t>
      </w:r>
    </w:p>
    <w:p w14:paraId="2AD1EB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6BBAF6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5FD711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42F74255">
      <w:pPr>
        <w:spacing w:line="360" w:lineRule="exact"/>
        <w:ind w:firstLine="480" w:firstLineChars="200"/>
        <w:rPr>
          <w:rFonts w:ascii="仿宋" w:hAnsi="仿宋" w:eastAsia="仿宋" w:cs="仿宋"/>
          <w:color w:val="auto"/>
          <w:kern w:val="1"/>
          <w:sz w:val="24"/>
          <w:highlight w:val="none"/>
        </w:rPr>
      </w:pPr>
      <w:bookmarkStart w:id="895" w:name="_Toc351203637"/>
      <w:bookmarkEnd w:id="895"/>
      <w:r>
        <w:rPr>
          <w:rFonts w:hint="eastAsia" w:ascii="仿宋" w:hAnsi="仿宋" w:eastAsia="仿宋" w:cs="仿宋"/>
          <w:color w:val="auto"/>
          <w:kern w:val="1"/>
          <w:sz w:val="24"/>
          <w:highlight w:val="none"/>
        </w:rPr>
        <w:t>5</w:t>
      </w:r>
      <w:bookmarkStart w:id="896" w:name="_Toc296891203"/>
      <w:bookmarkEnd w:id="896"/>
      <w:bookmarkStart w:id="897" w:name="_Toc292559367"/>
      <w:bookmarkEnd w:id="897"/>
      <w:bookmarkStart w:id="898" w:name="_Toc297120463"/>
      <w:bookmarkEnd w:id="898"/>
      <w:bookmarkStart w:id="899" w:name="_Toc296890991"/>
      <w:bookmarkEnd w:id="899"/>
      <w:bookmarkStart w:id="900" w:name="_Toc297048349"/>
      <w:bookmarkEnd w:id="900"/>
      <w:bookmarkStart w:id="901" w:name="_Toc296503163"/>
      <w:bookmarkEnd w:id="901"/>
      <w:bookmarkStart w:id="902" w:name="_Toc292559872"/>
      <w:bookmarkEnd w:id="902"/>
      <w:bookmarkStart w:id="903" w:name="_Toc296944502"/>
      <w:bookmarkEnd w:id="903"/>
      <w:bookmarkStart w:id="904" w:name="_Toc296347162"/>
      <w:bookmarkEnd w:id="904"/>
      <w:bookmarkStart w:id="905" w:name="_Toc296346664"/>
      <w:bookmarkEnd w:id="905"/>
      <w:r>
        <w:rPr>
          <w:rFonts w:hint="eastAsia" w:ascii="仿宋" w:hAnsi="仿宋" w:eastAsia="仿宋" w:cs="仿宋"/>
          <w:color w:val="auto"/>
          <w:kern w:val="1"/>
          <w:sz w:val="24"/>
          <w:highlight w:val="none"/>
        </w:rPr>
        <w:t>. 工程质量</w:t>
      </w:r>
    </w:p>
    <w:p w14:paraId="02EFB7E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5.1 质量要求</w:t>
      </w:r>
    </w:p>
    <w:p w14:paraId="155FF50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w:t>
      </w:r>
      <w:bookmarkStart w:id="906" w:name="_Toc312677997"/>
      <w:bookmarkEnd w:id="906"/>
      <w:bookmarkStart w:id="907" w:name="_Toc297216155"/>
      <w:bookmarkEnd w:id="907"/>
      <w:bookmarkStart w:id="908" w:name="_Toc303539106"/>
      <w:bookmarkEnd w:id="908"/>
      <w:bookmarkStart w:id="909" w:name="_Toc318581164"/>
      <w:bookmarkEnd w:id="909"/>
      <w:bookmarkStart w:id="910" w:name="_Toc297123496"/>
      <w:bookmarkEnd w:id="910"/>
      <w:bookmarkStart w:id="911" w:name="_Toc300934949"/>
      <w:bookmarkEnd w:id="911"/>
      <w:bookmarkStart w:id="912" w:name="_Toc304295527"/>
      <w:bookmarkEnd w:id="912"/>
      <w:r>
        <w:rPr>
          <w:rFonts w:hint="eastAsia" w:ascii="仿宋" w:hAnsi="仿宋" w:eastAsia="仿宋" w:cs="仿宋"/>
          <w:color w:val="auto"/>
          <w:kern w:val="1"/>
          <w:sz w:val="24"/>
          <w:highlight w:val="none"/>
        </w:rPr>
        <w:t>.1.1 特殊质量标准和要求：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p>
    <w:p w14:paraId="718E093D">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关于工程奖项的约定：</w:t>
      </w:r>
      <w:r>
        <w:rPr>
          <w:rFonts w:hint="eastAsia" w:ascii="仿宋" w:hAnsi="仿宋" w:eastAsia="仿宋" w:cs="仿宋"/>
          <w:color w:val="auto"/>
          <w:sz w:val="24"/>
          <w:highlight w:val="none"/>
          <w:u w:val="single"/>
        </w:rPr>
        <w:t>__________________</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_________</w:t>
      </w:r>
    </w:p>
    <w:p w14:paraId="464C56D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5.2 隐蔽工程检查</w:t>
      </w:r>
    </w:p>
    <w:p w14:paraId="6E25864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5.2.1承包人提前通知监理人隐蔽工程检查的期限的约定：</w:t>
      </w:r>
      <w:r>
        <w:rPr>
          <w:rFonts w:hint="eastAsia" w:ascii="仿宋" w:hAnsi="仿宋" w:eastAsia="仿宋" w:cs="仿宋"/>
          <w:color w:val="auto"/>
          <w:kern w:val="1"/>
          <w:sz w:val="24"/>
          <w:highlight w:val="none"/>
          <w:u w:val="single"/>
        </w:rPr>
        <w:t xml:space="preserve"> 共同检查前 24 小时书面通知监理人。   </w:t>
      </w:r>
    </w:p>
    <w:p w14:paraId="197D512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监理人不能按时进行检查时，应提前</w:t>
      </w:r>
      <w:r>
        <w:rPr>
          <w:rFonts w:hint="eastAsia" w:ascii="仿宋" w:hAnsi="仿宋" w:eastAsia="仿宋" w:cs="仿宋"/>
          <w:color w:val="auto"/>
          <w:kern w:val="1"/>
          <w:sz w:val="24"/>
          <w:highlight w:val="none"/>
          <w:u w:val="single"/>
        </w:rPr>
        <w:t xml:space="preserve">24 </w:t>
      </w:r>
      <w:r>
        <w:rPr>
          <w:rFonts w:hint="eastAsia" w:ascii="仿宋" w:hAnsi="仿宋" w:eastAsia="仿宋" w:cs="仿宋"/>
          <w:color w:val="auto"/>
          <w:kern w:val="1"/>
          <w:sz w:val="24"/>
          <w:highlight w:val="none"/>
        </w:rPr>
        <w:t>小时提交书面延期要求。</w:t>
      </w:r>
    </w:p>
    <w:p w14:paraId="3F6364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关于延期最长不得超过：</w:t>
      </w:r>
      <w:r>
        <w:rPr>
          <w:rFonts w:hint="eastAsia" w:ascii="仿宋" w:hAnsi="仿宋" w:eastAsia="仿宋" w:cs="仿宋"/>
          <w:color w:val="auto"/>
          <w:kern w:val="1"/>
          <w:sz w:val="24"/>
          <w:highlight w:val="none"/>
          <w:u w:val="single"/>
        </w:rPr>
        <w:t xml:space="preserve">  48  </w:t>
      </w:r>
      <w:r>
        <w:rPr>
          <w:rFonts w:hint="eastAsia" w:ascii="仿宋" w:hAnsi="仿宋" w:eastAsia="仿宋" w:cs="仿宋"/>
          <w:color w:val="auto"/>
          <w:kern w:val="1"/>
          <w:sz w:val="24"/>
          <w:highlight w:val="none"/>
        </w:rPr>
        <w:t>小时。</w:t>
      </w:r>
    </w:p>
    <w:p w14:paraId="163C55A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5.3不合格工程的处理</w:t>
      </w:r>
    </w:p>
    <w:p w14:paraId="0CA3250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除通用条款约定的处理原则外，若质量问题经返工修复后达到质量验收标准，承包人还须另外按该不合格项目所处分项工程造价的</w:t>
      </w:r>
      <w:r>
        <w:rPr>
          <w:rFonts w:hint="eastAsia" w:ascii="仿宋" w:hAnsi="仿宋" w:eastAsia="仿宋" w:cs="仿宋"/>
          <w:color w:val="auto"/>
          <w:kern w:val="1"/>
          <w:sz w:val="24"/>
          <w:highlight w:val="none"/>
          <w:u w:val="single"/>
          <w:lang w:val="en-US" w:eastAsia="zh-CN"/>
        </w:rPr>
        <w:t>2</w:t>
      </w:r>
      <w:r>
        <w:rPr>
          <w:rFonts w:hint="eastAsia" w:ascii="仿宋" w:hAnsi="仿宋" w:eastAsia="仿宋" w:cs="仿宋"/>
          <w:color w:val="auto"/>
          <w:kern w:val="1"/>
          <w:sz w:val="24"/>
          <w:highlight w:val="none"/>
          <w:u w:val="single"/>
        </w:rPr>
        <w:t>倍向发包人支付违约金；若无法返工修复，或返工修复达不到约定的质量标准和要求，</w:t>
      </w:r>
      <w:r>
        <w:rPr>
          <w:rFonts w:hint="eastAsia" w:ascii="仿宋" w:hAnsi="仿宋" w:eastAsia="仿宋" w:cs="仿宋"/>
          <w:b/>
          <w:color w:val="auto"/>
          <w:kern w:val="1"/>
          <w:sz w:val="24"/>
          <w:highlight w:val="none"/>
          <w:u w:val="single"/>
        </w:rPr>
        <w:t>承包人除应当退还所收取的工程价款，</w:t>
      </w:r>
      <w:r>
        <w:rPr>
          <w:rFonts w:hint="eastAsia" w:ascii="仿宋" w:hAnsi="仿宋" w:eastAsia="仿宋" w:cs="仿宋"/>
          <w:color w:val="auto"/>
          <w:kern w:val="1"/>
          <w:sz w:val="24"/>
          <w:highlight w:val="none"/>
          <w:u w:val="single"/>
        </w:rPr>
        <w:t xml:space="preserve">承担返工造成的全部经济损失和工期延误外，发包人将按不合格分项工程造价的 </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倍对承包人进行罚款。情节严重的，发包人可以单方解除合同，取消承包人后续工程承包资格，同时承包人还应赔偿给发包人造成的一切损失。</w:t>
      </w:r>
    </w:p>
    <w:p w14:paraId="48AFB7C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工程施工质量违约金处罚标准详见合同附件。</w:t>
      </w:r>
    </w:p>
    <w:p w14:paraId="10D01961">
      <w:pPr>
        <w:spacing w:line="360" w:lineRule="exact"/>
        <w:ind w:firstLine="480" w:firstLineChars="200"/>
        <w:rPr>
          <w:rFonts w:ascii="仿宋" w:hAnsi="仿宋" w:eastAsia="仿宋" w:cs="仿宋"/>
          <w:color w:val="auto"/>
          <w:kern w:val="1"/>
          <w:sz w:val="24"/>
          <w:highlight w:val="none"/>
        </w:rPr>
      </w:pPr>
      <w:bookmarkStart w:id="913" w:name="_Toc351203638"/>
      <w:bookmarkEnd w:id="913"/>
      <w:r>
        <w:rPr>
          <w:rFonts w:hint="eastAsia" w:ascii="仿宋" w:hAnsi="仿宋" w:eastAsia="仿宋" w:cs="仿宋"/>
          <w:color w:val="auto"/>
          <w:kern w:val="1"/>
          <w:sz w:val="24"/>
          <w:highlight w:val="none"/>
        </w:rPr>
        <w:t>6. 安全文明施工与环境保护</w:t>
      </w:r>
    </w:p>
    <w:p w14:paraId="5ED4790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6.1安全文明施工</w:t>
      </w:r>
    </w:p>
    <w:p w14:paraId="092253D2">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sz w:val="24"/>
          <w:highlight w:val="none"/>
        </w:rPr>
        <w:t>6.1.1 项目安全生产的达标目标及相应事项的约定：</w:t>
      </w:r>
      <w:r>
        <w:rPr>
          <w:rFonts w:hint="eastAsia" w:ascii="仿宋" w:hAnsi="仿宋" w:eastAsia="仿宋" w:cs="仿宋"/>
          <w:b/>
          <w:bCs/>
          <w:color w:val="auto"/>
          <w:sz w:val="24"/>
          <w:highlight w:val="none"/>
        </w:rPr>
        <w:t>确保死亡率为零（0）、重伤率为零（0）、月轻伤频率万分之二以下，杜绝伤亡事故的发生，符合发包人安全文明施工要求。并执行双方签订的《施工安全协议书》。</w:t>
      </w:r>
    </w:p>
    <w:p w14:paraId="7A2A7C0D">
      <w:pPr>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6.1.2 关于治安保卫的特别约定：</w:t>
      </w:r>
      <w:r>
        <w:rPr>
          <w:rFonts w:hint="eastAsia" w:ascii="仿宋" w:hAnsi="仿宋" w:eastAsia="仿宋" w:cs="仿宋"/>
          <w:b/>
          <w:bCs/>
          <w:color w:val="auto"/>
          <w:sz w:val="24"/>
          <w:highlight w:val="none"/>
          <w:u w:val="single"/>
        </w:rPr>
        <w:t>在发包人范围内施工的，承包人应遵守发包人有关治安保卫的规定；在发包人范围外施工的，承包人应与当地公安部门协商并建立治安保卫机构，履行治安保卫职责，并承担因治安保卫不力产生的一切责任及费用。</w:t>
      </w:r>
    </w:p>
    <w:p w14:paraId="608C8AAD">
      <w:pPr>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关于编制施工场地治安管理计划的约定：</w:t>
      </w:r>
      <w:r>
        <w:rPr>
          <w:rFonts w:hint="eastAsia" w:ascii="仿宋" w:hAnsi="仿宋" w:eastAsia="仿宋" w:cs="仿宋"/>
          <w:b/>
          <w:bCs/>
          <w:color w:val="auto"/>
          <w:sz w:val="24"/>
          <w:highlight w:val="none"/>
          <w:u w:val="single"/>
        </w:rPr>
        <w:t>由承包人负责编制施工场地治安管理计划并制定应对突发治安事件的紧急预案。</w:t>
      </w:r>
    </w:p>
    <w:p w14:paraId="1BEAFB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6.1.3 文明施工</w:t>
      </w:r>
    </w:p>
    <w:p w14:paraId="2EB89594">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合同当事人对文明施工的要求：</w:t>
      </w:r>
      <w:r>
        <w:rPr>
          <w:rFonts w:hint="eastAsia" w:ascii="仿宋" w:hAnsi="仿宋" w:eastAsia="仿宋" w:cs="仿宋"/>
          <w:color w:val="auto"/>
          <w:sz w:val="24"/>
          <w:highlight w:val="none"/>
          <w:u w:val="single"/>
        </w:rPr>
        <w:t>按以下约定执行。</w:t>
      </w:r>
    </w:p>
    <w:p w14:paraId="7AA1026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在实施和完成本合同工程及工程保修的整个过程中，承包人必须遵守国家和地方等有关安全文明施工的有关规定，如果由于承包人未能对安全文明生产采取必要的措施而导致发生人身伤亡、罚款、索赔、损失补偿、诉讼及其他一切责任，均由承包人负责，并赔偿给发包人造成的全部损失。</w:t>
      </w:r>
    </w:p>
    <w:p w14:paraId="0AECA231">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（2）承包人应当为施工现场从事施工作业和管理的人员，在施工活动过程中发生的人身意外伤亡事故提供保障，办理建筑意外伤害保险、支付保险费。</w:t>
      </w:r>
    </w:p>
    <w:p w14:paraId="37DA781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（3）承包人在施工和保修期间进行作业时，对本工程周围环境都应采取必要的保护措施，不得随意排放污水和有害物，也不得破坏已建或在建工程的任何部分。</w:t>
      </w:r>
    </w:p>
    <w:p w14:paraId="3597BB87">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（4）承包人的机械设备必须符合国家有关标准，性能良好，应配备专业的操作人员并具有上岗证书，施工车辆应经过公安交通部门检测合格，证照齐全。</w:t>
      </w:r>
    </w:p>
    <w:p w14:paraId="2DB6839D">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承包人在工程开工前应办理好工程的安监手续，并经验收后才能进行开工建设，同时承包人须积极配合安监部门及发包人做好安全施工的检查工作，并在施工中，积极对职工开展安全教育培训，增强职工的安全意识，做好安全施工的检查，不定期地做好施工机械、车辆、电力线路、生活生产设施的检查，提高安全性能。</w:t>
      </w:r>
    </w:p>
    <w:p w14:paraId="6604B71F">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承包人应该做好外来人员和外来车辆到现场的安全管理，承包人应做好各类危险指示牌，指示牌须清晰可辨，如外来人员或外来车辆在施工现场出现事故，是由于承包人责任的，承包人应承担该项赔偿费用和责任。安全防护措施费由承包人承担。</w:t>
      </w:r>
    </w:p>
    <w:p w14:paraId="78784996">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（7）若本工程在政府主管部门关于安全文明施工检查中被通报处理的，处罚费用由承包人承担，除按照合同附件中的安全文明施工违约金标准处罚外，同时还应向发包人承担</w:t>
      </w:r>
      <w:r>
        <w:rPr>
          <w:rFonts w:hint="eastAsia" w:ascii="仿宋" w:hAnsi="仿宋" w:eastAsia="仿宋" w:cs="仿宋"/>
          <w:color w:val="auto"/>
          <w:sz w:val="24"/>
          <w:highlight w:val="none"/>
          <w:u w:val="single"/>
          <w:lang w:val="en-US" w:eastAsia="zh-CN"/>
        </w:rPr>
        <w:t>5000</w:t>
      </w:r>
      <w:r>
        <w:rPr>
          <w:rFonts w:hint="eastAsia" w:ascii="仿宋" w:hAnsi="仿宋" w:eastAsia="仿宋" w:cs="仿宋"/>
          <w:color w:val="auto"/>
          <w:sz w:val="24"/>
          <w:highlight w:val="none"/>
        </w:rPr>
        <w:t>元/次的违约金。</w:t>
      </w:r>
    </w:p>
    <w:p w14:paraId="7D50679E">
      <w:pPr>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（8）安全文明施工违约金处罚标准详见合同附件。</w:t>
      </w:r>
    </w:p>
    <w:p w14:paraId="43CE1F8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6.1.4 关于安全文明施工费支付比例和支付期限的约定：</w:t>
      </w:r>
      <w:r>
        <w:rPr>
          <w:rFonts w:hint="eastAsia" w:ascii="仿宋" w:hAnsi="仿宋" w:eastAsia="仿宋" w:cs="仿宋"/>
          <w:b/>
          <w:bCs/>
          <w:color w:val="auto"/>
          <w:sz w:val="24"/>
          <w:highlight w:val="none"/>
          <w:u w:val="single"/>
        </w:rPr>
        <w:t>已包含在合同价款中，根据付款节点约定随工程进度支付。</w:t>
      </w:r>
    </w:p>
    <w:p w14:paraId="2DC55EF5">
      <w:pPr>
        <w:spacing w:line="360" w:lineRule="exact"/>
        <w:ind w:firstLine="480" w:firstLineChars="200"/>
        <w:rPr>
          <w:rFonts w:ascii="仿宋" w:hAnsi="仿宋" w:eastAsia="仿宋" w:cs="仿宋"/>
          <w:color w:val="auto"/>
          <w:kern w:val="1"/>
          <w:sz w:val="24"/>
          <w:highlight w:val="none"/>
        </w:rPr>
      </w:pPr>
      <w:bookmarkStart w:id="914" w:name="_Toc351203639"/>
      <w:bookmarkEnd w:id="914"/>
      <w:r>
        <w:rPr>
          <w:rFonts w:hint="eastAsia" w:ascii="仿宋" w:hAnsi="仿宋" w:eastAsia="仿宋" w:cs="仿宋"/>
          <w:color w:val="auto"/>
          <w:kern w:val="1"/>
          <w:sz w:val="24"/>
          <w:highlight w:val="none"/>
        </w:rPr>
        <w:t>7. 工期和进度</w:t>
      </w:r>
    </w:p>
    <w:p w14:paraId="3B780F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 施工组织设计</w:t>
      </w:r>
    </w:p>
    <w:p w14:paraId="74DACAA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7.1.1 合同当事人约定的施工组织设计应包括的其他内容：</w:t>
      </w:r>
      <w:r>
        <w:rPr>
          <w:rFonts w:hint="eastAsia" w:ascii="仿宋" w:hAnsi="仿宋" w:eastAsia="仿宋" w:cs="仿宋"/>
          <w:b/>
          <w:bCs/>
          <w:color w:val="auto"/>
          <w:kern w:val="1"/>
          <w:sz w:val="24"/>
          <w:highlight w:val="none"/>
          <w:u w:val="single"/>
        </w:rPr>
        <w:t>除常规的施工部署、施工方案、保证质量和安全的保障体系与技术措施外，还应包括必要的专项施工设计、施工图深化设计方案等内容。</w:t>
      </w:r>
    </w:p>
    <w:p w14:paraId="4C700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7.1.2 施工组织设计的提交和修改</w:t>
      </w:r>
    </w:p>
    <w:p w14:paraId="6049683D">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承包人提交详细施工组织设计的期限的约定：</w:t>
      </w:r>
      <w:r>
        <w:rPr>
          <w:rFonts w:hint="eastAsia" w:ascii="仿宋" w:hAnsi="仿宋" w:eastAsia="仿宋" w:cs="仿宋"/>
          <w:b/>
          <w:bCs/>
          <w:color w:val="auto"/>
          <w:kern w:val="1"/>
          <w:sz w:val="24"/>
          <w:highlight w:val="none"/>
          <w:u w:val="single"/>
        </w:rPr>
        <w:t>承包人应在开工7日前，向监理人提交经公司审批的详细的施工组织设计，并经监理人审批后报送发包人审定。</w:t>
      </w:r>
    </w:p>
    <w:p w14:paraId="66D46727">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发包人和监理人在收到详细的施工组织设计后确认或提出修改意见的期限：</w:t>
      </w:r>
      <w:r>
        <w:rPr>
          <w:rFonts w:hint="eastAsia" w:ascii="仿宋" w:hAnsi="仿宋" w:eastAsia="仿宋" w:cs="仿宋"/>
          <w:b/>
          <w:bCs/>
          <w:color w:val="auto"/>
          <w:kern w:val="1"/>
          <w:sz w:val="24"/>
          <w:highlight w:val="none"/>
          <w:u w:val="single"/>
        </w:rPr>
        <w:t>发包人和监理人应在监理人收到施工组织设计后 3 天内确认或提出修改意见。对发包人和监理人提出的合理意见和要求，承包人应予以修改、完善，并承担相关费用。根据工程实际情况需要修改施工组织设计的，承包人应向发包人和监理人再次提交修订后的施工组织设计。</w:t>
      </w:r>
    </w:p>
    <w:p w14:paraId="5DB85D3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w:t>
      </w:r>
      <w:bookmarkStart w:id="915" w:name="_Toc312678005"/>
      <w:bookmarkEnd w:id="915"/>
      <w:bookmarkStart w:id="916" w:name="_Toc304295541"/>
      <w:bookmarkEnd w:id="916"/>
      <w:bookmarkStart w:id="917" w:name="_Toc300934966"/>
      <w:bookmarkEnd w:id="917"/>
      <w:bookmarkStart w:id="918" w:name="_Toc303539123"/>
      <w:bookmarkEnd w:id="918"/>
      <w:bookmarkStart w:id="919" w:name="_Toc312677479"/>
      <w:bookmarkEnd w:id="919"/>
      <w:bookmarkStart w:id="920" w:name="_Toc297216173"/>
      <w:bookmarkEnd w:id="920"/>
      <w:bookmarkStart w:id="921" w:name="_Toc297123514"/>
      <w:bookmarkEnd w:id="921"/>
      <w:r>
        <w:rPr>
          <w:rFonts w:hint="eastAsia" w:ascii="仿宋" w:hAnsi="仿宋" w:eastAsia="仿宋" w:cs="仿宋"/>
          <w:color w:val="auto"/>
          <w:kern w:val="1"/>
          <w:sz w:val="24"/>
          <w:highlight w:val="none"/>
        </w:rPr>
        <w:t>.2 施工进度计划</w:t>
      </w:r>
    </w:p>
    <w:p w14:paraId="5BB4BBE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7.2.1 施工进度计划的修订</w:t>
      </w:r>
    </w:p>
    <w:p w14:paraId="2CAE1AE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发包人和监理人在收到修订的施工进度计划后确认或提出修改意见的期限：</w:t>
      </w:r>
      <w:r>
        <w:rPr>
          <w:rFonts w:hint="eastAsia" w:ascii="仿宋" w:hAnsi="仿宋" w:eastAsia="仿宋" w:cs="仿宋"/>
          <w:b/>
          <w:bCs/>
          <w:color w:val="auto"/>
          <w:kern w:val="1"/>
          <w:sz w:val="24"/>
          <w:highlight w:val="none"/>
          <w:u w:val="single"/>
        </w:rPr>
        <w:t>发包人和监理人应在收到修订的施工进度计划后 2 日内完成审核和批准或提出修改意见。发包人和监理人对承包人提交的施工进度计划的确认，不能减轻或免除承包人根据法律规定和合同约定应承担的任何责任或义务。施工进度计划另附。施工进度计划作为承包人工程进度是否违约的依据。</w:t>
      </w:r>
    </w:p>
    <w:p w14:paraId="22C042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7.3 开工</w:t>
      </w:r>
    </w:p>
    <w:p w14:paraId="38435668">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关于承包人提交工程开工报审表的期限：</w:t>
      </w:r>
      <w:r>
        <w:rPr>
          <w:rFonts w:hint="eastAsia" w:ascii="仿宋" w:hAnsi="仿宋" w:eastAsia="仿宋" w:cs="仿宋"/>
          <w:b/>
          <w:bCs/>
          <w:color w:val="auto"/>
          <w:kern w:val="1"/>
          <w:sz w:val="24"/>
          <w:highlight w:val="none"/>
          <w:u w:val="single"/>
        </w:rPr>
        <w:t>承包人应在合同签订后7日内，向监理人提交工程开工报审表，经监理人报发包人批准后执行。开工报审表应详细说明按施工进度计划、临时设施、材料、工程设备、施工设备、施工人员等落实情况以及工程的进度安排。</w:t>
      </w:r>
    </w:p>
    <w:p w14:paraId="36DD62A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关于发包人应完成的其他开工准备工作及期限：</w:t>
      </w:r>
      <w:r>
        <w:rPr>
          <w:rFonts w:hint="eastAsia" w:ascii="仿宋" w:hAnsi="仿宋" w:eastAsia="仿宋" w:cs="仿宋"/>
          <w:b/>
          <w:bCs/>
          <w:color w:val="auto"/>
          <w:kern w:val="1"/>
          <w:sz w:val="24"/>
          <w:highlight w:val="none"/>
          <w:u w:val="single"/>
        </w:rPr>
        <w:t>在开工报审表约定的计划开工时间前 3 日完成全部开工准备工作。</w:t>
      </w:r>
    </w:p>
    <w:p w14:paraId="2B60C47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关于承包人应完成的其他开工准备工作及期限：</w:t>
      </w:r>
      <w:r>
        <w:rPr>
          <w:rFonts w:hint="eastAsia" w:ascii="仿宋" w:hAnsi="仿宋" w:eastAsia="仿宋" w:cs="仿宋"/>
          <w:b/>
          <w:bCs/>
          <w:color w:val="auto"/>
          <w:kern w:val="1"/>
          <w:sz w:val="24"/>
          <w:highlight w:val="none"/>
          <w:u w:val="single"/>
        </w:rPr>
        <w:t>在开工报审表约定的计划开工时间前 3 日完成全部开工准备工作。</w:t>
      </w:r>
    </w:p>
    <w:p w14:paraId="6FF8EF6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7.3.2 开工通知</w:t>
      </w:r>
    </w:p>
    <w:p w14:paraId="02BF75B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因发包人原因造成监理人未能在计划开工日期之日起</w:t>
      </w:r>
      <w:r>
        <w:rPr>
          <w:rFonts w:hint="eastAsia" w:ascii="仿宋" w:hAnsi="仿宋" w:eastAsia="仿宋" w:cs="仿宋"/>
          <w:b/>
          <w:bCs/>
          <w:color w:val="auto"/>
          <w:kern w:val="1"/>
          <w:sz w:val="24"/>
          <w:highlight w:val="none"/>
          <w:u w:val="single"/>
        </w:rPr>
        <w:t xml:space="preserve"> 120天内</w:t>
      </w:r>
      <w:r>
        <w:rPr>
          <w:rFonts w:hint="eastAsia" w:ascii="仿宋" w:hAnsi="仿宋" w:eastAsia="仿宋" w:cs="仿宋"/>
          <w:color w:val="auto"/>
          <w:kern w:val="1"/>
          <w:sz w:val="24"/>
          <w:highlight w:val="none"/>
        </w:rPr>
        <w:t>发出开工通知的，</w:t>
      </w:r>
      <w:r>
        <w:rPr>
          <w:rFonts w:hint="eastAsia" w:ascii="仿宋" w:hAnsi="仿宋" w:eastAsia="仿宋" w:cs="仿宋"/>
          <w:b/>
          <w:color w:val="auto"/>
          <w:kern w:val="1"/>
          <w:sz w:val="24"/>
          <w:highlight w:val="none"/>
        </w:rPr>
        <w:t>承包人和发包人均有权解除合同</w:t>
      </w:r>
      <w:r>
        <w:rPr>
          <w:rFonts w:hint="eastAsia" w:ascii="仿宋" w:hAnsi="仿宋" w:eastAsia="仿宋" w:cs="仿宋"/>
          <w:color w:val="auto"/>
          <w:kern w:val="1"/>
          <w:sz w:val="24"/>
          <w:highlight w:val="none"/>
        </w:rPr>
        <w:t>。</w:t>
      </w:r>
    </w:p>
    <w:p w14:paraId="0AB7D42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7.4 测量放线</w:t>
      </w:r>
    </w:p>
    <w:p w14:paraId="5EBA5305">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7.4.1 发包人通过监理人向承包人提供测量基准点、基准线和水准点及其书面资料的期限：</w:t>
      </w:r>
      <w:r>
        <w:rPr>
          <w:rFonts w:hint="eastAsia" w:ascii="仿宋" w:hAnsi="仿宋" w:eastAsia="仿宋" w:cs="仿宋"/>
          <w:b/>
          <w:bCs/>
          <w:color w:val="auto"/>
          <w:kern w:val="1"/>
          <w:sz w:val="24"/>
          <w:highlight w:val="none"/>
          <w:u w:val="single"/>
        </w:rPr>
        <w:t>开工日期前 3 天。</w:t>
      </w:r>
    </w:p>
    <w:p w14:paraId="0A8B69A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w:t>
      </w:r>
      <w:bookmarkStart w:id="922" w:name="_Toc300934968"/>
      <w:bookmarkEnd w:id="922"/>
      <w:bookmarkStart w:id="923" w:name="_Toc312677484"/>
      <w:bookmarkEnd w:id="923"/>
      <w:bookmarkStart w:id="924" w:name="_Toc304295546"/>
      <w:bookmarkEnd w:id="924"/>
      <w:bookmarkStart w:id="925" w:name="_Toc297123516"/>
      <w:bookmarkEnd w:id="925"/>
      <w:bookmarkStart w:id="926" w:name="_Toc297216175"/>
      <w:bookmarkEnd w:id="926"/>
      <w:bookmarkStart w:id="927" w:name="_Toc312678010"/>
      <w:bookmarkEnd w:id="927"/>
      <w:bookmarkStart w:id="928" w:name="_Toc303539125"/>
      <w:bookmarkEnd w:id="928"/>
      <w:r>
        <w:rPr>
          <w:rFonts w:hint="eastAsia" w:ascii="仿宋" w:hAnsi="仿宋" w:eastAsia="仿宋" w:cs="仿宋"/>
          <w:color w:val="auto"/>
          <w:kern w:val="1"/>
          <w:sz w:val="24"/>
          <w:highlight w:val="none"/>
        </w:rPr>
        <w:t>.5 工期延误</w:t>
      </w:r>
    </w:p>
    <w:p w14:paraId="50FE82C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7.5.1 因发包人原因导致工期延误</w:t>
      </w:r>
    </w:p>
    <w:p w14:paraId="1BAEB4B9">
      <w:pPr>
        <w:spacing w:line="360" w:lineRule="exact"/>
        <w:ind w:firstLine="480" w:firstLineChars="200"/>
        <w:rPr>
          <w:rFonts w:ascii="仿宋" w:hAnsi="仿宋" w:eastAsia="仿宋" w:cs="仿宋"/>
          <w:b/>
          <w:bCs/>
          <w:color w:val="auto"/>
          <w:kern w:val="1"/>
          <w:sz w:val="24"/>
          <w:highlight w:val="none"/>
        </w:rPr>
      </w:pPr>
      <w:r>
        <w:rPr>
          <w:rFonts w:hint="eastAsia" w:ascii="仿宋" w:hAnsi="仿宋" w:eastAsia="仿宋" w:cs="仿宋"/>
          <w:color w:val="auto"/>
          <w:kern w:val="1"/>
          <w:sz w:val="24"/>
          <w:highlight w:val="none"/>
        </w:rPr>
        <w:t>因发包人原因导致工期延误的其他情形：</w:t>
      </w:r>
      <w:r>
        <w:rPr>
          <w:rFonts w:hint="eastAsia" w:ascii="仿宋" w:hAnsi="仿宋" w:eastAsia="仿宋" w:cs="仿宋"/>
          <w:b/>
          <w:bCs/>
          <w:color w:val="auto"/>
          <w:kern w:val="1"/>
          <w:sz w:val="24"/>
          <w:highlight w:val="none"/>
        </w:rPr>
        <w:t xml:space="preserve">⑴重大设计方案调整或设计变更而影响施工进度；⑵发生不可预料的突发事件。（3）征迁时序滞后。上述事件发生造成的工期延误，承包人须在事件发生后 7 日内办理工期签证，逾期发包人将不予认可。因发包人原因造成工期顺延而增加的费用，承包人须在事件发生后 7 日内办理工期签证，逾期发包人将不予认可。由承包人在风险费中考虑，工期予以顺延，停工时间 90 日以上的适用 </w:t>
      </w:r>
      <w:r>
        <w:rPr>
          <w:rFonts w:hint="eastAsia" w:ascii="仿宋" w:hAnsi="仿宋" w:eastAsia="仿宋" w:cs="仿宋"/>
          <w:b/>
          <w:bCs/>
          <w:color w:val="auto"/>
          <w:kern w:val="1"/>
          <w:sz w:val="24"/>
          <w:highlight w:val="none"/>
        </w:rPr>
        <w:t>7.8</w:t>
      </w:r>
      <w:r>
        <w:rPr>
          <w:rFonts w:hint="eastAsia" w:ascii="仿宋" w:hAnsi="仿宋" w:eastAsia="仿宋" w:cs="仿宋"/>
          <w:b/>
          <w:bCs/>
          <w:color w:val="auto"/>
          <w:kern w:val="1"/>
          <w:sz w:val="24"/>
          <w:highlight w:val="none"/>
        </w:rPr>
        <w:t xml:space="preserve"> 暂停施工调价条款。</w:t>
      </w:r>
    </w:p>
    <w:p w14:paraId="0565E57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7.5.2 因承包人原因导致工期延误</w:t>
      </w:r>
    </w:p>
    <w:p w14:paraId="7E2E9E9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因承包人原因造成工期延误，逾期竣工违约金的计算方法为：</w:t>
      </w:r>
    </w:p>
    <w:p w14:paraId="371ADDB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（1）合同双方在确定总工期及关键节点工期时，已经充分考虑下列因素：</w:t>
      </w:r>
      <w:r>
        <w:rPr>
          <w:rFonts w:hint="eastAsia" w:ascii="仿宋" w:hAnsi="仿宋" w:eastAsia="仿宋" w:cs="仿宋"/>
          <w:color w:val="auto"/>
          <w:kern w:val="1"/>
          <w:sz w:val="24"/>
          <w:highlight w:val="none"/>
          <w:u w:val="single"/>
        </w:rPr>
        <w:t>①可能出现的各种规模的下雨、下雪、大风、雾霾、高低温天气、停水、停电、节假日、政府大型活动等因素（异常恶劣天气气候条件除外）；②合同双方分包工程的合理工期。</w:t>
      </w:r>
    </w:p>
    <w:p w14:paraId="78E8B81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以下原因在施工关键工期线路上，造成竣工日期及控制工期拖延，且该拖延后果确属不可避免的，经发包人确认，工期相应顺延，但发包人不因此而承担包括但不限于承包人窝工、停工、机械进出场、台班费、措施费等在内的其他责任：</w:t>
      </w:r>
    </w:p>
    <w:p w14:paraId="23E2AEC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①按本合同定义的不可抗力（本合同定义以外的不可抗力的影响已由承包人在投标施工总工期中综合包干考虑）；</w:t>
      </w:r>
    </w:p>
    <w:p w14:paraId="72AC71F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②经发包人同意工期顺延的其他情况。</w:t>
      </w:r>
    </w:p>
    <w:p w14:paraId="0139523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u w:val="single"/>
        </w:rPr>
        <w:t>（3）</w:t>
      </w:r>
      <w:r>
        <w:rPr>
          <w:rFonts w:hint="eastAsia" w:ascii="仿宋" w:hAnsi="仿宋" w:eastAsia="仿宋" w:cs="仿宋"/>
          <w:b/>
          <w:color w:val="auto"/>
          <w:kern w:val="1"/>
          <w:sz w:val="24"/>
          <w:highlight w:val="none"/>
          <w:u w:val="single"/>
        </w:rPr>
        <w:t>承包人逾期竣工的，按每逾期一天应向发包人支付违约金</w:t>
      </w:r>
      <w:r>
        <w:rPr>
          <w:rFonts w:hint="eastAsia" w:ascii="仿宋" w:hAnsi="仿宋" w:eastAsia="仿宋" w:cs="仿宋"/>
          <w:b/>
          <w:color w:val="auto"/>
          <w:kern w:val="1"/>
          <w:sz w:val="24"/>
          <w:highlight w:val="none"/>
          <w:u w:val="single"/>
          <w:lang w:val="en-US" w:eastAsia="zh-CN"/>
        </w:rPr>
        <w:t>贰</w:t>
      </w:r>
      <w:r>
        <w:rPr>
          <w:rFonts w:hint="eastAsia" w:ascii="仿宋" w:hAnsi="仿宋" w:eastAsia="仿宋" w:cs="仿宋"/>
          <w:b/>
          <w:color w:val="auto"/>
          <w:kern w:val="1"/>
          <w:sz w:val="24"/>
          <w:highlight w:val="none"/>
          <w:u w:val="single"/>
        </w:rPr>
        <w:t>仟（</w:t>
      </w:r>
      <w:r>
        <w:rPr>
          <w:rFonts w:hint="eastAsia" w:ascii="仿宋" w:hAnsi="仿宋" w:eastAsia="仿宋" w:cs="仿宋"/>
          <w:b/>
          <w:color w:val="auto"/>
          <w:kern w:val="1"/>
          <w:sz w:val="24"/>
          <w:highlight w:val="none"/>
          <w:u w:val="single"/>
          <w:lang w:val="en-US" w:eastAsia="zh-CN"/>
        </w:rPr>
        <w:t>2</w:t>
      </w:r>
      <w:r>
        <w:rPr>
          <w:rFonts w:hint="eastAsia" w:ascii="仿宋" w:hAnsi="仿宋" w:eastAsia="仿宋" w:cs="仿宋"/>
          <w:b/>
          <w:color w:val="auto"/>
          <w:kern w:val="1"/>
          <w:sz w:val="24"/>
          <w:highlight w:val="none"/>
          <w:u w:val="single"/>
        </w:rPr>
        <w:t>000.00）元</w:t>
      </w:r>
      <w:r>
        <w:rPr>
          <w:rFonts w:hint="eastAsia" w:ascii="仿宋" w:hAnsi="仿宋" w:eastAsia="仿宋" w:cs="仿宋"/>
          <w:color w:val="auto"/>
          <w:kern w:val="1"/>
          <w:sz w:val="24"/>
          <w:highlight w:val="none"/>
          <w:u w:val="single"/>
        </w:rPr>
        <w:t>，并承担由此造成的一切损失，违约金从工程进度款或结算款中扣除。因承包人原因工期延误超过三十天的，发包人有权单方面解除本合同，未支付合同价款不再支付，并由承包人承担由此带来的一切损失；</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color w:val="auto"/>
          <w:sz w:val="24"/>
          <w:highlight w:val="none"/>
        </w:rPr>
        <w:t>。</w:t>
      </w:r>
    </w:p>
    <w:p w14:paraId="66C653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（4）关键节点的处罚措施：</w:t>
      </w:r>
    </w:p>
    <w:p w14:paraId="6EF57BC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因承包人原因造成工期延误，逾期竣工违约金的上限：</w:t>
      </w:r>
      <w:r>
        <w:rPr>
          <w:rFonts w:hint="eastAsia" w:ascii="仿宋" w:hAnsi="仿宋" w:eastAsia="仿宋" w:cs="仿宋"/>
          <w:color w:val="auto"/>
          <w:kern w:val="1"/>
          <w:sz w:val="24"/>
          <w:highlight w:val="none"/>
          <w:u w:val="single"/>
        </w:rPr>
        <w:t xml:space="preserve"> 不设上限 </w:t>
      </w:r>
      <w:r>
        <w:rPr>
          <w:rFonts w:hint="eastAsia" w:ascii="仿宋" w:hAnsi="仿宋" w:eastAsia="仿宋" w:cs="仿宋"/>
          <w:color w:val="auto"/>
          <w:kern w:val="1"/>
          <w:sz w:val="24"/>
          <w:highlight w:val="none"/>
        </w:rPr>
        <w:t>。</w:t>
      </w:r>
    </w:p>
    <w:p w14:paraId="54A8D444">
      <w:pPr>
        <w:tabs>
          <w:tab w:val="left" w:pos="3735"/>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7.6 不利物质条件</w:t>
      </w:r>
    </w:p>
    <w:p w14:paraId="08D6DE47">
      <w:pPr>
        <w:tabs>
          <w:tab w:val="left" w:pos="3735"/>
        </w:tabs>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不利物质条件的其他情形和有关约定：</w:t>
      </w:r>
      <w:r>
        <w:rPr>
          <w:rFonts w:hint="eastAsia" w:ascii="仿宋" w:hAnsi="仿宋" w:eastAsia="仿宋" w:cs="仿宋"/>
          <w:b/>
          <w:bCs/>
          <w:color w:val="auto"/>
          <w:sz w:val="24"/>
          <w:highlight w:val="none"/>
          <w:u w:val="single"/>
        </w:rPr>
        <w:t>如遇到严重污染天气、重大活动保障需要暂停施工，且持续时间在一周以上的，承包人须在事件发生后 7 日内办理工期签证，工期予以顺延，逾期发包人将不予认可。风险费用已由承包人在风险费中考虑，因承包人处理不利物质条件而采取措施所增加的费用和延误的工期均由承包人自行承担。</w:t>
      </w:r>
    </w:p>
    <w:p w14:paraId="425228E8">
      <w:pPr>
        <w:tabs>
          <w:tab w:val="left" w:pos="3735"/>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7.7 异常恶劣的气候条件</w:t>
      </w:r>
    </w:p>
    <w:p w14:paraId="3AF97BC2">
      <w:pPr>
        <w:tabs>
          <w:tab w:val="left" w:pos="3735"/>
        </w:tabs>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发包人和承包人同意以下情形视为异常恶劣的气候条件：</w:t>
      </w:r>
      <w:r>
        <w:rPr>
          <w:rFonts w:hint="eastAsia" w:ascii="仿宋" w:hAnsi="仿宋" w:eastAsia="仿宋" w:cs="仿宋"/>
          <w:b/>
          <w:bCs/>
          <w:color w:val="auto"/>
          <w:sz w:val="24"/>
          <w:highlight w:val="none"/>
          <w:u w:val="single"/>
        </w:rPr>
        <w:t>50 年一遇的风、雨、雪、洪水及工程遭遇 5 级以上的地震等自然灾害属不可抗力。其他不可预见的、时间连续超过一周，且对合同履行造成实质性影响的，但尚未构成不可抗力事件的，社会普遍公认的恶劣气候条件。其余同通用条款</w:t>
      </w:r>
    </w:p>
    <w:p w14:paraId="2C79906D">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outlineLvl w:val="2"/>
        <w:rPr>
          <w:rFonts w:hint="eastAsia" w:ascii="仿宋" w:hAnsi="仿宋" w:eastAsia="仿宋" w:cs="仿宋"/>
          <w:snapToGrid w:val="0"/>
          <w:color w:val="auto"/>
          <w:spacing w:val="0"/>
          <w:kern w:val="21"/>
          <w:position w:val="0"/>
          <w:sz w:val="24"/>
          <w:szCs w:val="24"/>
          <w:highlight w:val="none"/>
        </w:rPr>
      </w:pPr>
      <w:bookmarkStart w:id="929" w:name="_Toc351203640"/>
      <w:bookmarkEnd w:id="929"/>
      <w:r>
        <w:rPr>
          <w:rFonts w:hint="eastAsia" w:ascii="仿宋" w:hAnsi="仿宋" w:eastAsia="仿宋" w:cs="仿宋"/>
          <w:snapToGrid w:val="0"/>
          <w:color w:val="auto"/>
          <w:spacing w:val="0"/>
          <w:kern w:val="21"/>
          <w:position w:val="0"/>
          <w:sz w:val="24"/>
          <w:szCs w:val="24"/>
          <w:highlight w:val="none"/>
        </w:rPr>
        <w:t>7.8暂停施工</w:t>
      </w:r>
    </w:p>
    <w:p w14:paraId="29343808">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kern w:val="21"/>
          <w:position w:val="0"/>
          <w:sz w:val="24"/>
          <w:szCs w:val="24"/>
          <w:highlight w:val="none"/>
        </w:rPr>
      </w:pPr>
      <w:r>
        <w:rPr>
          <w:rFonts w:hint="eastAsia" w:ascii="仿宋" w:hAnsi="仿宋" w:eastAsia="仿宋" w:cs="仿宋"/>
          <w:snapToGrid w:val="0"/>
          <w:color w:val="auto"/>
          <w:spacing w:val="0"/>
          <w:kern w:val="21"/>
          <w:position w:val="0"/>
          <w:sz w:val="24"/>
          <w:szCs w:val="24"/>
          <w:highlight w:val="none"/>
        </w:rPr>
        <w:t>承包人原因引起的暂停施工，发包人不予工期和费用补偿，同时承包人对发包人造成的损失要进行赔偿。</w:t>
      </w:r>
    </w:p>
    <w:p w14:paraId="30EA6CE2">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kern w:val="21"/>
          <w:position w:val="0"/>
          <w:sz w:val="24"/>
          <w:szCs w:val="24"/>
          <w:highlight w:val="none"/>
          <w:lang w:eastAsia="zh-CN"/>
        </w:rPr>
      </w:pPr>
      <w:r>
        <w:rPr>
          <w:rFonts w:hint="eastAsia" w:ascii="仿宋" w:hAnsi="仿宋" w:eastAsia="仿宋" w:cs="仿宋"/>
          <w:snapToGrid w:val="0"/>
          <w:color w:val="auto"/>
          <w:spacing w:val="0"/>
          <w:kern w:val="21"/>
          <w:position w:val="0"/>
          <w:sz w:val="24"/>
          <w:szCs w:val="24"/>
          <w:highlight w:val="none"/>
        </w:rPr>
        <w:t>发包人原因造成的暂停施工，给予工期顺延，工程价款调整</w:t>
      </w:r>
      <w:r>
        <w:rPr>
          <w:rFonts w:hint="eastAsia" w:ascii="仿宋" w:hAnsi="仿宋" w:eastAsia="仿宋" w:cs="仿宋"/>
          <w:snapToGrid w:val="0"/>
          <w:color w:val="auto"/>
          <w:spacing w:val="0"/>
          <w:kern w:val="21"/>
          <w:position w:val="0"/>
          <w:sz w:val="24"/>
          <w:szCs w:val="24"/>
          <w:highlight w:val="none"/>
          <w:lang w:val="en-US" w:eastAsia="zh-CN"/>
        </w:rPr>
        <w:t>不予调整。</w:t>
      </w:r>
    </w:p>
    <w:p w14:paraId="5018F4FE">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w w:val="100"/>
          <w:kern w:val="21"/>
          <w:sz w:val="24"/>
          <w:szCs w:val="24"/>
          <w:highlight w:val="none"/>
          <w:u w:val="single" w:color="auto"/>
        </w:rPr>
      </w:pPr>
      <w:r>
        <w:rPr>
          <w:rFonts w:hint="eastAsia" w:ascii="仿宋" w:hAnsi="仿宋" w:eastAsia="仿宋" w:cs="仿宋"/>
          <w:snapToGrid w:val="0"/>
          <w:color w:val="auto"/>
          <w:spacing w:val="0"/>
          <w:kern w:val="21"/>
          <w:position w:val="0"/>
          <w:sz w:val="24"/>
          <w:szCs w:val="24"/>
          <w:highlight w:val="none"/>
        </w:rPr>
        <w:t>7.9提前竣工的奖励</w:t>
      </w:r>
    </w:p>
    <w:p w14:paraId="50EF88E0">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w w:val="100"/>
          <w:kern w:val="21"/>
          <w:sz w:val="24"/>
          <w:szCs w:val="24"/>
          <w:highlight w:val="none"/>
          <w:u w:val="single" w:color="auto"/>
        </w:rPr>
      </w:pPr>
      <w:r>
        <w:rPr>
          <w:rFonts w:hint="eastAsia" w:ascii="仿宋" w:hAnsi="仿宋" w:eastAsia="仿宋" w:cs="仿宋"/>
          <w:snapToGrid w:val="0"/>
          <w:color w:val="auto"/>
          <w:spacing w:val="0"/>
          <w:w w:val="100"/>
          <w:kern w:val="21"/>
          <w:sz w:val="24"/>
          <w:szCs w:val="24"/>
          <w:highlight w:val="none"/>
          <w:u w:val="none" w:color="auto"/>
        </w:rPr>
        <w:t>7.9.1提前竣工的奖励：</w:t>
      </w:r>
      <w:r>
        <w:rPr>
          <w:rFonts w:hint="eastAsia" w:ascii="仿宋" w:hAnsi="仿宋" w:eastAsia="仿宋" w:cs="仿宋"/>
          <w:snapToGrid w:val="0"/>
          <w:color w:val="auto"/>
          <w:spacing w:val="0"/>
          <w:w w:val="100"/>
          <w:kern w:val="21"/>
          <w:sz w:val="24"/>
          <w:szCs w:val="24"/>
          <w:highlight w:val="none"/>
          <w:u w:val="single" w:color="auto"/>
        </w:rPr>
        <w:t>无。</w:t>
      </w:r>
    </w:p>
    <w:p w14:paraId="3152D32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 材料与设备</w:t>
      </w:r>
    </w:p>
    <w:p w14:paraId="20B3DA4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w:t>
      </w:r>
      <w:bookmarkStart w:id="930" w:name="_Toc312678019"/>
      <w:bookmarkEnd w:id="930"/>
      <w:bookmarkStart w:id="931" w:name="_Toc292559372"/>
      <w:bookmarkEnd w:id="931"/>
      <w:bookmarkStart w:id="932" w:name="_Toc280868656"/>
      <w:bookmarkEnd w:id="932"/>
      <w:bookmarkStart w:id="933" w:name="_Toc296944506"/>
      <w:bookmarkEnd w:id="933"/>
      <w:bookmarkStart w:id="934" w:name="_Toc296347166"/>
      <w:bookmarkEnd w:id="934"/>
      <w:bookmarkStart w:id="935" w:name="_Toc297123527"/>
      <w:bookmarkEnd w:id="935"/>
      <w:bookmarkStart w:id="936" w:name="_Toc292559877"/>
      <w:bookmarkEnd w:id="936"/>
      <w:bookmarkStart w:id="937" w:name="_Toc304295556"/>
      <w:bookmarkEnd w:id="937"/>
      <w:bookmarkStart w:id="938" w:name="_Toc280868655"/>
      <w:bookmarkEnd w:id="938"/>
      <w:bookmarkStart w:id="939" w:name="_Toc296890995"/>
      <w:bookmarkEnd w:id="939"/>
      <w:bookmarkStart w:id="940" w:name="_Toc297048353"/>
      <w:bookmarkEnd w:id="940"/>
      <w:bookmarkStart w:id="941" w:name="_Toc280868654"/>
      <w:bookmarkEnd w:id="941"/>
      <w:bookmarkStart w:id="942" w:name="_Toc303539136"/>
      <w:bookmarkEnd w:id="942"/>
      <w:bookmarkStart w:id="943" w:name="_Toc297216186"/>
      <w:bookmarkEnd w:id="943"/>
      <w:bookmarkStart w:id="944" w:name="_Toc296346668"/>
      <w:bookmarkEnd w:id="944"/>
      <w:bookmarkStart w:id="945" w:name="_Toc312677493"/>
      <w:bookmarkEnd w:id="945"/>
      <w:bookmarkStart w:id="946" w:name="_Toc297120467"/>
      <w:bookmarkEnd w:id="946"/>
      <w:bookmarkStart w:id="947" w:name="_Toc267251424"/>
      <w:bookmarkEnd w:id="947"/>
      <w:bookmarkStart w:id="948" w:name="_Toc296503167"/>
      <w:bookmarkEnd w:id="948"/>
      <w:bookmarkStart w:id="949" w:name="_Toc296891207"/>
      <w:bookmarkEnd w:id="949"/>
      <w:bookmarkStart w:id="950" w:name="_Toc300934979"/>
      <w:bookmarkEnd w:id="950"/>
      <w:r>
        <w:rPr>
          <w:rFonts w:hint="eastAsia" w:ascii="仿宋" w:hAnsi="仿宋" w:eastAsia="仿宋" w:cs="仿宋"/>
          <w:color w:val="auto"/>
          <w:kern w:val="1"/>
          <w:sz w:val="24"/>
          <w:highlight w:val="none"/>
        </w:rPr>
        <w:t>.1材料与工程设备的保管与使用</w:t>
      </w:r>
    </w:p>
    <w:p w14:paraId="5E1524C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8</w:t>
      </w:r>
      <w:bookmarkStart w:id="951" w:name="_Toc296891208"/>
      <w:bookmarkEnd w:id="951"/>
      <w:bookmarkStart w:id="952" w:name="_Toc300934980"/>
      <w:bookmarkEnd w:id="952"/>
      <w:bookmarkStart w:id="953" w:name="_Toc312678020"/>
      <w:bookmarkEnd w:id="953"/>
      <w:bookmarkStart w:id="954" w:name="_Toc296347167"/>
      <w:bookmarkEnd w:id="954"/>
      <w:bookmarkStart w:id="955" w:name="_Toc296944507"/>
      <w:bookmarkEnd w:id="955"/>
      <w:bookmarkStart w:id="956" w:name="_Toc297048354"/>
      <w:bookmarkEnd w:id="956"/>
      <w:bookmarkStart w:id="957" w:name="_Toc296346669"/>
      <w:bookmarkEnd w:id="957"/>
      <w:bookmarkStart w:id="958" w:name="_Toc318581173"/>
      <w:bookmarkEnd w:id="958"/>
      <w:bookmarkStart w:id="959" w:name="_Toc297216187"/>
      <w:bookmarkEnd w:id="959"/>
      <w:bookmarkStart w:id="960" w:name="_Toc292559373"/>
      <w:bookmarkEnd w:id="960"/>
      <w:bookmarkStart w:id="961" w:name="_Toc303539137"/>
      <w:bookmarkEnd w:id="961"/>
      <w:bookmarkStart w:id="962" w:name="_Toc292559878"/>
      <w:bookmarkEnd w:id="962"/>
      <w:bookmarkStart w:id="963" w:name="_Toc297120468"/>
      <w:bookmarkEnd w:id="963"/>
      <w:bookmarkStart w:id="964" w:name="_Toc296503168"/>
      <w:bookmarkEnd w:id="964"/>
      <w:bookmarkStart w:id="965" w:name="_Toc312677494"/>
      <w:bookmarkEnd w:id="965"/>
      <w:bookmarkStart w:id="966" w:name="_Toc297123528"/>
      <w:bookmarkEnd w:id="966"/>
      <w:bookmarkStart w:id="967" w:name="_Toc304295557"/>
      <w:bookmarkEnd w:id="967"/>
      <w:bookmarkStart w:id="968" w:name="_Toc296890996"/>
      <w:bookmarkEnd w:id="968"/>
      <w:r>
        <w:rPr>
          <w:rFonts w:hint="eastAsia" w:ascii="仿宋" w:hAnsi="仿宋" w:eastAsia="仿宋" w:cs="仿宋"/>
          <w:color w:val="auto"/>
          <w:kern w:val="1"/>
          <w:sz w:val="24"/>
          <w:highlight w:val="none"/>
        </w:rPr>
        <w:t>.1.1发包人供应的材料设备的保管费用的承担：</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1B62093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8.2 样品</w:t>
      </w:r>
    </w:p>
    <w:p w14:paraId="78D62C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8.2.1样品的报送与封存</w:t>
      </w:r>
    </w:p>
    <w:p w14:paraId="0E25968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需要承包人报送样品的材料或工程设备，样品的种类、名称、规格、数量要求：</w:t>
      </w:r>
      <w:r>
        <w:rPr>
          <w:rFonts w:hint="eastAsia" w:ascii="仿宋" w:hAnsi="仿宋" w:eastAsia="仿宋" w:cs="仿宋"/>
          <w:color w:val="auto"/>
          <w:kern w:val="1"/>
          <w:sz w:val="24"/>
          <w:highlight w:val="none"/>
          <w:u w:val="single"/>
        </w:rPr>
        <w:t xml:space="preserve">  签约时填入  </w:t>
      </w:r>
      <w:r>
        <w:rPr>
          <w:rFonts w:hint="eastAsia" w:ascii="仿宋" w:hAnsi="仿宋" w:eastAsia="仿宋" w:cs="仿宋"/>
          <w:color w:val="auto"/>
          <w:kern w:val="1"/>
          <w:sz w:val="24"/>
          <w:highlight w:val="none"/>
        </w:rPr>
        <w:t>。</w:t>
      </w:r>
    </w:p>
    <w:p w14:paraId="4C87B9A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8.3 施工设备和临时设施</w:t>
      </w:r>
    </w:p>
    <w:p w14:paraId="3BBFA82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8.3.1 承包人提供的施工设备和临时设施</w:t>
      </w:r>
    </w:p>
    <w:p w14:paraId="45B90C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关于修建临时设施费用承担的约定：</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551E84F0">
      <w:pPr>
        <w:spacing w:line="360" w:lineRule="exact"/>
        <w:ind w:firstLine="480" w:firstLineChars="200"/>
        <w:rPr>
          <w:rFonts w:ascii="仿宋" w:hAnsi="仿宋" w:eastAsia="仿宋" w:cs="仿宋"/>
          <w:color w:val="auto"/>
          <w:kern w:val="1"/>
          <w:sz w:val="24"/>
          <w:highlight w:val="none"/>
        </w:rPr>
      </w:pPr>
      <w:bookmarkStart w:id="969" w:name="_Toc351203641"/>
      <w:bookmarkEnd w:id="969"/>
      <w:r>
        <w:rPr>
          <w:rFonts w:hint="eastAsia" w:ascii="仿宋" w:hAnsi="仿宋" w:eastAsia="仿宋" w:cs="仿宋"/>
          <w:color w:val="auto"/>
          <w:kern w:val="1"/>
          <w:sz w:val="24"/>
          <w:highlight w:val="none"/>
        </w:rPr>
        <w:t>9</w:t>
      </w:r>
      <w:bookmarkStart w:id="970" w:name="_Toc292559883"/>
      <w:bookmarkEnd w:id="970"/>
      <w:bookmarkStart w:id="971" w:name="_Toc292559378"/>
      <w:bookmarkEnd w:id="971"/>
      <w:bookmarkStart w:id="972" w:name="_Toc267251428"/>
      <w:bookmarkEnd w:id="972"/>
      <w:bookmarkStart w:id="973" w:name="_Toc297216192"/>
      <w:bookmarkEnd w:id="973"/>
      <w:bookmarkStart w:id="974" w:name="_Toc296347172"/>
      <w:bookmarkEnd w:id="974"/>
      <w:bookmarkStart w:id="975" w:name="_Toc296944512"/>
      <w:bookmarkEnd w:id="975"/>
      <w:bookmarkStart w:id="976" w:name="_Toc300934982"/>
      <w:bookmarkEnd w:id="976"/>
      <w:bookmarkStart w:id="977" w:name="_Toc297120473"/>
      <w:bookmarkEnd w:id="977"/>
      <w:bookmarkStart w:id="978" w:name="_Toc304295559"/>
      <w:bookmarkEnd w:id="978"/>
      <w:bookmarkStart w:id="979" w:name="_Toc267251427"/>
      <w:bookmarkEnd w:id="979"/>
      <w:bookmarkStart w:id="980" w:name="_Toc312677495"/>
      <w:bookmarkEnd w:id="980"/>
      <w:bookmarkStart w:id="981" w:name="_Toc296503173"/>
      <w:bookmarkEnd w:id="981"/>
      <w:bookmarkStart w:id="982" w:name="_Toc296891213"/>
      <w:bookmarkEnd w:id="982"/>
      <w:bookmarkStart w:id="983" w:name="_Toc297048359"/>
      <w:bookmarkEnd w:id="983"/>
      <w:bookmarkStart w:id="984" w:name="_Toc303539139"/>
      <w:bookmarkEnd w:id="984"/>
      <w:bookmarkStart w:id="985" w:name="_Toc312678021"/>
      <w:bookmarkEnd w:id="985"/>
      <w:bookmarkStart w:id="986" w:name="_Toc297123533"/>
      <w:bookmarkEnd w:id="986"/>
      <w:bookmarkStart w:id="987" w:name="_Toc296346674"/>
      <w:bookmarkEnd w:id="987"/>
      <w:bookmarkStart w:id="988" w:name="_Toc296891001"/>
      <w:bookmarkEnd w:id="988"/>
      <w:r>
        <w:rPr>
          <w:rFonts w:hint="eastAsia" w:ascii="仿宋" w:hAnsi="仿宋" w:eastAsia="仿宋" w:cs="仿宋"/>
          <w:color w:val="auto"/>
          <w:kern w:val="1"/>
          <w:sz w:val="24"/>
          <w:highlight w:val="none"/>
        </w:rPr>
        <w:t>. 试验与检验</w:t>
      </w:r>
    </w:p>
    <w:p w14:paraId="2FAEEB6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w:t>
      </w:r>
      <w:bookmarkStart w:id="989" w:name="_Toc300934983"/>
      <w:bookmarkEnd w:id="989"/>
      <w:bookmarkStart w:id="990" w:name="_Toc304295560"/>
      <w:bookmarkEnd w:id="990"/>
      <w:bookmarkStart w:id="991" w:name="_Toc312677496"/>
      <w:bookmarkEnd w:id="991"/>
      <w:bookmarkStart w:id="992" w:name="_Toc297216193"/>
      <w:bookmarkEnd w:id="992"/>
      <w:bookmarkStart w:id="993" w:name="_Toc312678022"/>
      <w:bookmarkEnd w:id="993"/>
      <w:bookmarkStart w:id="994" w:name="_Toc297123534"/>
      <w:bookmarkEnd w:id="994"/>
      <w:bookmarkStart w:id="995" w:name="_Toc303539140"/>
      <w:bookmarkEnd w:id="995"/>
      <w:r>
        <w:rPr>
          <w:rFonts w:hint="eastAsia" w:ascii="仿宋" w:hAnsi="仿宋" w:eastAsia="仿宋" w:cs="仿宋"/>
          <w:color w:val="auto"/>
          <w:kern w:val="1"/>
          <w:sz w:val="24"/>
          <w:highlight w:val="none"/>
        </w:rPr>
        <w:t>.1试验设备与试验人员</w:t>
      </w:r>
    </w:p>
    <w:p w14:paraId="6E6FDAE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w:t>
      </w:r>
      <w:bookmarkStart w:id="996" w:name="_Toc312677497"/>
      <w:bookmarkEnd w:id="996"/>
      <w:bookmarkStart w:id="997" w:name="_Toc297123535"/>
      <w:bookmarkEnd w:id="997"/>
      <w:bookmarkStart w:id="998" w:name="_Toc318581174"/>
      <w:bookmarkEnd w:id="998"/>
      <w:bookmarkStart w:id="999" w:name="_Toc300934984"/>
      <w:bookmarkEnd w:id="999"/>
      <w:bookmarkStart w:id="1000" w:name="_Toc303539141"/>
      <w:bookmarkEnd w:id="1000"/>
      <w:bookmarkStart w:id="1001" w:name="_Toc312678023"/>
      <w:bookmarkEnd w:id="1001"/>
      <w:bookmarkStart w:id="1002" w:name="_Toc297216194"/>
      <w:bookmarkEnd w:id="1002"/>
      <w:bookmarkStart w:id="1003" w:name="_Toc304295561"/>
      <w:bookmarkEnd w:id="1003"/>
      <w:r>
        <w:rPr>
          <w:rFonts w:hint="eastAsia" w:ascii="仿宋" w:hAnsi="仿宋" w:eastAsia="仿宋" w:cs="仿宋"/>
          <w:color w:val="auto"/>
          <w:kern w:val="1"/>
          <w:sz w:val="24"/>
          <w:highlight w:val="none"/>
        </w:rPr>
        <w:t>.1.1 试验设备</w:t>
      </w:r>
    </w:p>
    <w:p w14:paraId="11D5E30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施工现场需要配置的试验场所：</w:t>
      </w:r>
      <w:bookmarkStart w:id="1004" w:name="_Toc297123536"/>
      <w:bookmarkEnd w:id="1004"/>
      <w:bookmarkStart w:id="1005" w:name="_Toc297216195"/>
      <w:bookmarkEnd w:id="1005"/>
      <w:bookmarkStart w:id="1006" w:name="_Toc312677498"/>
      <w:bookmarkEnd w:id="1006"/>
      <w:bookmarkStart w:id="1007" w:name="_Toc303539142"/>
      <w:bookmarkEnd w:id="1007"/>
      <w:bookmarkStart w:id="1008" w:name="_Toc304295562"/>
      <w:bookmarkEnd w:id="1008"/>
      <w:bookmarkStart w:id="1009" w:name="_Toc300934985"/>
      <w:bookmarkEnd w:id="1009"/>
      <w:bookmarkStart w:id="1010" w:name="_Toc312678024"/>
      <w:bookmarkEnd w:id="1010"/>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 xml:space="preserve">。 </w:t>
      </w:r>
    </w:p>
    <w:p w14:paraId="12383150">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施工现场需要配备的试验设备：</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4B80CDD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施工现场需要具备的其他试验条件：</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510578F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9.2 现场工艺试验 </w:t>
      </w:r>
    </w:p>
    <w:p w14:paraId="2A5345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现场工艺试验的有关约定：</w:t>
      </w:r>
      <w:r>
        <w:rPr>
          <w:rFonts w:hint="eastAsia" w:ascii="仿宋" w:hAnsi="仿宋" w:eastAsia="仿宋" w:cs="仿宋"/>
          <w:color w:val="auto"/>
          <w:kern w:val="1"/>
          <w:sz w:val="24"/>
          <w:highlight w:val="none"/>
          <w:u w:val="single"/>
        </w:rPr>
        <w:t xml:space="preserve"> 符合国家及安徽省、淮南市建设行政主管部门相关规定；满足相关规范要求；满足本项目施工实际需要；常规的现场工艺试验由承包人按发包人（或监理人）指示进行，大型、特殊的现场工艺试验，应编制专项工艺试验措施并报发包人（或监理人）批准后实施；所有相关费用由承包人承担。</w:t>
      </w:r>
    </w:p>
    <w:p w14:paraId="6F5375CE">
      <w:pPr>
        <w:spacing w:line="360" w:lineRule="exact"/>
        <w:ind w:firstLine="480" w:firstLineChars="200"/>
        <w:rPr>
          <w:rFonts w:ascii="仿宋" w:hAnsi="仿宋" w:eastAsia="仿宋" w:cs="仿宋"/>
          <w:color w:val="auto"/>
          <w:kern w:val="1"/>
          <w:sz w:val="24"/>
          <w:highlight w:val="none"/>
        </w:rPr>
      </w:pPr>
      <w:bookmarkStart w:id="1011" w:name="_Toc351203642"/>
      <w:bookmarkEnd w:id="1011"/>
      <w:r>
        <w:rPr>
          <w:rFonts w:hint="eastAsia" w:ascii="仿宋" w:hAnsi="仿宋" w:eastAsia="仿宋" w:cs="仿宋"/>
          <w:color w:val="auto"/>
          <w:kern w:val="1"/>
          <w:sz w:val="24"/>
          <w:highlight w:val="none"/>
        </w:rPr>
        <w:t>1</w:t>
      </w:r>
      <w:bookmarkStart w:id="1012" w:name="_Toc303539146"/>
      <w:bookmarkEnd w:id="1012"/>
      <w:bookmarkStart w:id="1013" w:name="_Toc312677499"/>
      <w:bookmarkEnd w:id="1013"/>
      <w:bookmarkStart w:id="1014" w:name="_Toc297216199"/>
      <w:bookmarkEnd w:id="1014"/>
      <w:bookmarkStart w:id="1015" w:name="_Toc267251433"/>
      <w:bookmarkEnd w:id="1015"/>
      <w:bookmarkStart w:id="1016" w:name="_Toc312678025"/>
      <w:bookmarkEnd w:id="1016"/>
      <w:bookmarkStart w:id="1017" w:name="_Toc296891233"/>
      <w:bookmarkEnd w:id="1017"/>
      <w:bookmarkStart w:id="1018" w:name="_Toc292559903"/>
      <w:bookmarkEnd w:id="1018"/>
      <w:bookmarkStart w:id="1019" w:name="_Toc304295566"/>
      <w:bookmarkEnd w:id="1019"/>
      <w:bookmarkStart w:id="1020" w:name="_Toc297120493"/>
      <w:bookmarkEnd w:id="1020"/>
      <w:bookmarkStart w:id="1021" w:name="_Toc267251442"/>
      <w:bookmarkEnd w:id="1021"/>
      <w:bookmarkStart w:id="1022" w:name="_Toc267251435"/>
      <w:bookmarkEnd w:id="1022"/>
      <w:bookmarkStart w:id="1023" w:name="_Toc296891021"/>
      <w:bookmarkEnd w:id="1023"/>
      <w:bookmarkStart w:id="1024" w:name="_Toc300934989"/>
      <w:bookmarkEnd w:id="1024"/>
      <w:bookmarkStart w:id="1025" w:name="_Toc297123540"/>
      <w:bookmarkEnd w:id="1025"/>
      <w:bookmarkStart w:id="1026" w:name="_Toc296944532"/>
      <w:bookmarkEnd w:id="1026"/>
      <w:bookmarkStart w:id="1027" w:name="_Toc292559398"/>
      <w:bookmarkEnd w:id="1027"/>
      <w:bookmarkStart w:id="1028" w:name="_Toc296503193"/>
      <w:bookmarkEnd w:id="1028"/>
      <w:bookmarkStart w:id="1029" w:name="_Toc297048379"/>
      <w:bookmarkEnd w:id="1029"/>
      <w:bookmarkStart w:id="1030" w:name="_Toc267251439"/>
      <w:bookmarkEnd w:id="1030"/>
      <w:bookmarkStart w:id="1031" w:name="_Toc296346694"/>
      <w:bookmarkEnd w:id="1031"/>
      <w:bookmarkStart w:id="1032" w:name="_Toc267251437"/>
      <w:bookmarkEnd w:id="1032"/>
      <w:bookmarkStart w:id="1033" w:name="_Toc267251441"/>
      <w:bookmarkEnd w:id="1033"/>
      <w:bookmarkStart w:id="1034" w:name="_Toc267251440"/>
      <w:bookmarkEnd w:id="1034"/>
      <w:bookmarkStart w:id="1035" w:name="_Toc296347192"/>
      <w:bookmarkEnd w:id="1035"/>
      <w:r>
        <w:rPr>
          <w:rFonts w:hint="eastAsia" w:ascii="仿宋" w:hAnsi="仿宋" w:eastAsia="仿宋" w:cs="仿宋"/>
          <w:color w:val="auto"/>
          <w:kern w:val="1"/>
          <w:sz w:val="24"/>
          <w:highlight w:val="none"/>
        </w:rPr>
        <w:t>0. 变更</w:t>
      </w:r>
    </w:p>
    <w:p w14:paraId="31D8AA0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036" w:name="_Toc312677500"/>
      <w:bookmarkEnd w:id="1036"/>
      <w:bookmarkStart w:id="1037" w:name="_Toc304295567"/>
      <w:bookmarkEnd w:id="1037"/>
      <w:bookmarkStart w:id="1038" w:name="_Toc296347193"/>
      <w:bookmarkEnd w:id="1038"/>
      <w:bookmarkStart w:id="1039" w:name="_Toc296346695"/>
      <w:bookmarkEnd w:id="1039"/>
      <w:bookmarkStart w:id="1040" w:name="_Toc300934990"/>
      <w:bookmarkEnd w:id="1040"/>
      <w:bookmarkStart w:id="1041" w:name="_Toc297048380"/>
      <w:bookmarkEnd w:id="1041"/>
      <w:bookmarkStart w:id="1042" w:name="_Toc297216200"/>
      <w:bookmarkEnd w:id="1042"/>
      <w:bookmarkStart w:id="1043" w:name="_Toc312678026"/>
      <w:bookmarkEnd w:id="1043"/>
      <w:bookmarkStart w:id="1044" w:name="_Toc296503194"/>
      <w:bookmarkEnd w:id="1044"/>
      <w:bookmarkStart w:id="1045" w:name="_Toc297120494"/>
      <w:bookmarkEnd w:id="1045"/>
      <w:bookmarkStart w:id="1046" w:name="_Toc297123541"/>
      <w:bookmarkEnd w:id="1046"/>
      <w:bookmarkStart w:id="1047" w:name="_Toc303539147"/>
      <w:bookmarkEnd w:id="1047"/>
      <w:bookmarkStart w:id="1048" w:name="_Toc296944533"/>
      <w:bookmarkEnd w:id="1048"/>
      <w:bookmarkStart w:id="1049" w:name="_Toc296891022"/>
      <w:bookmarkEnd w:id="1049"/>
      <w:bookmarkStart w:id="1050" w:name="_Toc292559399"/>
      <w:bookmarkEnd w:id="1050"/>
      <w:bookmarkStart w:id="1051" w:name="_Toc292559904"/>
      <w:bookmarkEnd w:id="1051"/>
      <w:bookmarkStart w:id="1052" w:name="_Toc296891234"/>
      <w:bookmarkEnd w:id="1052"/>
      <w:r>
        <w:rPr>
          <w:rFonts w:hint="eastAsia" w:ascii="仿宋" w:hAnsi="仿宋" w:eastAsia="仿宋" w:cs="仿宋"/>
          <w:color w:val="auto"/>
          <w:kern w:val="1"/>
          <w:sz w:val="24"/>
          <w:highlight w:val="none"/>
        </w:rPr>
        <w:t>0.1变更的范围</w:t>
      </w:r>
    </w:p>
    <w:p w14:paraId="3292AD9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关于变更的范围的约定：</w:t>
      </w:r>
      <w:r>
        <w:rPr>
          <w:rFonts w:hint="eastAsia" w:ascii="仿宋" w:hAnsi="仿宋" w:eastAsia="仿宋" w:cs="仿宋"/>
          <w:color w:val="auto"/>
          <w:kern w:val="1"/>
          <w:sz w:val="24"/>
          <w:highlight w:val="none"/>
          <w:u w:val="single"/>
        </w:rPr>
        <w:t>除设计变更、有效签证和合同约定外，</w:t>
      </w:r>
      <w:r>
        <w:rPr>
          <w:rFonts w:hint="eastAsia" w:ascii="仿宋" w:hAnsi="仿宋" w:eastAsia="仿宋" w:cs="仿宋"/>
          <w:color w:val="auto"/>
          <w:sz w:val="24"/>
          <w:highlight w:val="none"/>
          <w:u w:val="single"/>
        </w:rPr>
        <w:t>其他包括但不限于人工费、材料费、机械费等一律不予</w:t>
      </w:r>
      <w:r>
        <w:rPr>
          <w:rFonts w:hint="eastAsia" w:ascii="仿宋" w:hAnsi="仿宋" w:eastAsia="仿宋" w:cs="仿宋"/>
          <w:color w:val="auto"/>
          <w:kern w:val="1"/>
          <w:sz w:val="24"/>
          <w:highlight w:val="none"/>
          <w:u w:val="single"/>
        </w:rPr>
        <w:t>调整</w:t>
      </w:r>
      <w:r>
        <w:rPr>
          <w:rFonts w:hint="eastAsia" w:ascii="仿宋" w:hAnsi="仿宋" w:eastAsia="仿宋" w:cs="仿宋"/>
          <w:color w:val="auto"/>
          <w:kern w:val="1"/>
          <w:sz w:val="24"/>
          <w:highlight w:val="none"/>
        </w:rPr>
        <w:t>。</w:t>
      </w:r>
    </w:p>
    <w:p w14:paraId="4574BC9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10.2 变更估价</w:t>
      </w:r>
    </w:p>
    <w:p w14:paraId="2496FD2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10.2.1 变更估价原则</w:t>
      </w:r>
    </w:p>
    <w:p w14:paraId="11BAA0A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关于变更估价的约定：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CDFF2C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053" w:name="_Toc296347196"/>
      <w:bookmarkEnd w:id="1053"/>
      <w:bookmarkStart w:id="1054" w:name="_Toc296891237"/>
      <w:bookmarkEnd w:id="1054"/>
      <w:bookmarkStart w:id="1055" w:name="_Toc303539150"/>
      <w:bookmarkEnd w:id="1055"/>
      <w:bookmarkStart w:id="1056" w:name="_Toc297048383"/>
      <w:bookmarkEnd w:id="1056"/>
      <w:bookmarkStart w:id="1057" w:name="_Toc304295570"/>
      <w:bookmarkEnd w:id="1057"/>
      <w:bookmarkStart w:id="1058" w:name="_Toc300934993"/>
      <w:bookmarkEnd w:id="1058"/>
      <w:bookmarkStart w:id="1059" w:name="_Toc312677503"/>
      <w:bookmarkEnd w:id="1059"/>
      <w:bookmarkStart w:id="1060" w:name="_Toc312678029"/>
      <w:bookmarkEnd w:id="1060"/>
      <w:bookmarkStart w:id="1061" w:name="_Toc296944536"/>
      <w:bookmarkEnd w:id="1061"/>
      <w:bookmarkStart w:id="1062" w:name="_Toc297216203"/>
      <w:bookmarkEnd w:id="1062"/>
      <w:bookmarkStart w:id="1063" w:name="_Toc297123544"/>
      <w:bookmarkEnd w:id="1063"/>
      <w:bookmarkStart w:id="1064" w:name="_Toc292559402"/>
      <w:bookmarkEnd w:id="1064"/>
      <w:bookmarkStart w:id="1065" w:name="_Toc292559907"/>
      <w:bookmarkEnd w:id="1065"/>
      <w:bookmarkStart w:id="1066" w:name="_Toc296503197"/>
      <w:bookmarkEnd w:id="1066"/>
      <w:bookmarkStart w:id="1067" w:name="_Toc296891025"/>
      <w:bookmarkEnd w:id="1067"/>
      <w:bookmarkStart w:id="1068" w:name="_Toc296346698"/>
      <w:bookmarkEnd w:id="1068"/>
      <w:bookmarkStart w:id="1069" w:name="_Toc297120497"/>
      <w:bookmarkEnd w:id="1069"/>
      <w:r>
        <w:rPr>
          <w:rFonts w:hint="eastAsia" w:ascii="仿宋" w:hAnsi="仿宋" w:eastAsia="仿宋" w:cs="仿宋"/>
          <w:color w:val="auto"/>
          <w:kern w:val="1"/>
          <w:sz w:val="24"/>
          <w:highlight w:val="none"/>
        </w:rPr>
        <w:t>0.3承</w:t>
      </w:r>
      <w:bookmarkStart w:id="1070" w:name="_Toc292559408"/>
      <w:bookmarkEnd w:id="1070"/>
      <w:bookmarkStart w:id="1071" w:name="_Toc300934994"/>
      <w:bookmarkEnd w:id="1071"/>
      <w:bookmarkStart w:id="1072" w:name="_Toc303539151"/>
      <w:bookmarkEnd w:id="1072"/>
      <w:bookmarkStart w:id="1073" w:name="_Toc296891031"/>
      <w:bookmarkEnd w:id="1073"/>
      <w:bookmarkStart w:id="1074" w:name="_Toc297120503"/>
      <w:bookmarkEnd w:id="1074"/>
      <w:bookmarkStart w:id="1075" w:name="_Toc297123545"/>
      <w:bookmarkEnd w:id="1075"/>
      <w:bookmarkStart w:id="1076" w:name="_Toc296347202"/>
      <w:bookmarkEnd w:id="1076"/>
      <w:bookmarkStart w:id="1077" w:name="_Toc292559913"/>
      <w:bookmarkEnd w:id="1077"/>
      <w:bookmarkStart w:id="1078" w:name="_Toc296944542"/>
      <w:bookmarkEnd w:id="1078"/>
      <w:bookmarkStart w:id="1079" w:name="_Toc297048389"/>
      <w:bookmarkEnd w:id="1079"/>
      <w:bookmarkStart w:id="1080" w:name="_Toc296503203"/>
      <w:bookmarkEnd w:id="1080"/>
      <w:bookmarkStart w:id="1081" w:name="_Toc297216204"/>
      <w:bookmarkEnd w:id="1081"/>
      <w:bookmarkStart w:id="1082" w:name="_Toc296346704"/>
      <w:bookmarkEnd w:id="1082"/>
      <w:bookmarkStart w:id="1083" w:name="_Toc296891243"/>
      <w:bookmarkEnd w:id="1083"/>
      <w:r>
        <w:rPr>
          <w:rFonts w:hint="eastAsia" w:ascii="仿宋" w:hAnsi="仿宋" w:eastAsia="仿宋" w:cs="仿宋"/>
          <w:color w:val="auto"/>
          <w:kern w:val="1"/>
          <w:sz w:val="24"/>
          <w:highlight w:val="none"/>
        </w:rPr>
        <w:t>包人的合理化建议</w:t>
      </w:r>
    </w:p>
    <w:p w14:paraId="5EC542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监理人审查承包人合理化建议的期限：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7155DE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发包人审批承包人合理化建议的期限：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9AC5A2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w:t>
      </w:r>
      <w:bookmarkStart w:id="1084" w:name="_Toc296891032"/>
      <w:bookmarkEnd w:id="1084"/>
      <w:bookmarkStart w:id="1085" w:name="_Toc297120504"/>
      <w:bookmarkEnd w:id="1085"/>
      <w:bookmarkStart w:id="1086" w:name="_Toc297123546"/>
      <w:bookmarkEnd w:id="1086"/>
      <w:bookmarkStart w:id="1087" w:name="_Toc303539152"/>
      <w:bookmarkEnd w:id="1087"/>
      <w:bookmarkStart w:id="1088" w:name="_Toc296944543"/>
      <w:bookmarkEnd w:id="1088"/>
      <w:bookmarkStart w:id="1089" w:name="_Toc297216205"/>
      <w:bookmarkEnd w:id="1089"/>
      <w:bookmarkStart w:id="1090" w:name="_Toc300934995"/>
      <w:bookmarkEnd w:id="1090"/>
      <w:bookmarkStart w:id="1091" w:name="_Toc296347203"/>
      <w:bookmarkEnd w:id="1091"/>
      <w:bookmarkStart w:id="1092" w:name="_Toc296346705"/>
      <w:bookmarkEnd w:id="1092"/>
      <w:bookmarkStart w:id="1093" w:name="_Toc296503204"/>
      <w:bookmarkEnd w:id="1093"/>
      <w:bookmarkStart w:id="1094" w:name="_Toc304295571"/>
      <w:bookmarkEnd w:id="1094"/>
      <w:bookmarkStart w:id="1095" w:name="_Toc312677504"/>
      <w:bookmarkEnd w:id="1095"/>
      <w:bookmarkStart w:id="1096" w:name="_Toc292559914"/>
      <w:bookmarkEnd w:id="1096"/>
      <w:bookmarkStart w:id="1097" w:name="_Toc296891244"/>
      <w:bookmarkEnd w:id="1097"/>
      <w:bookmarkStart w:id="1098" w:name="_Toc292559409"/>
      <w:bookmarkEnd w:id="1098"/>
      <w:bookmarkStart w:id="1099" w:name="_Toc312678030"/>
      <w:bookmarkEnd w:id="1099"/>
      <w:bookmarkStart w:id="1100" w:name="_Toc318581175"/>
      <w:bookmarkEnd w:id="1100"/>
      <w:bookmarkStart w:id="1101" w:name="_Toc297048390"/>
      <w:bookmarkEnd w:id="1101"/>
      <w:r>
        <w:rPr>
          <w:rFonts w:hint="eastAsia" w:ascii="仿宋" w:hAnsi="仿宋" w:eastAsia="仿宋" w:cs="仿宋"/>
          <w:color w:val="auto"/>
          <w:kern w:val="1"/>
          <w:sz w:val="24"/>
          <w:highlight w:val="none"/>
        </w:rPr>
        <w:t>包人提出的合理化建议降低了合同价格或者提高了工程经济效益的奖励的方法和金额为：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 xml:space="preserve">  </w:t>
      </w:r>
      <w:r>
        <w:rPr>
          <w:rFonts w:hint="eastAsia" w:ascii="仿宋" w:hAnsi="仿宋" w:eastAsia="仿宋" w:cs="仿宋"/>
          <w:color w:val="auto"/>
          <w:kern w:val="1"/>
          <w:sz w:val="24"/>
          <w:highlight w:val="none"/>
        </w:rPr>
        <w:t>。</w:t>
      </w:r>
    </w:p>
    <w:p w14:paraId="4B7E4B4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102" w:name="_Toc312677507"/>
      <w:bookmarkEnd w:id="1102"/>
      <w:bookmarkStart w:id="1103" w:name="_Toc297216207"/>
      <w:bookmarkEnd w:id="1103"/>
      <w:bookmarkStart w:id="1104" w:name="_Toc296944538"/>
      <w:bookmarkEnd w:id="1104"/>
      <w:bookmarkStart w:id="1105" w:name="_Toc292559404"/>
      <w:bookmarkEnd w:id="1105"/>
      <w:bookmarkStart w:id="1106" w:name="_Toc303539154"/>
      <w:bookmarkEnd w:id="1106"/>
      <w:bookmarkStart w:id="1107" w:name="_Toc296891027"/>
      <w:bookmarkEnd w:id="1107"/>
      <w:bookmarkStart w:id="1108" w:name="_Toc296346700"/>
      <w:bookmarkEnd w:id="1108"/>
      <w:bookmarkStart w:id="1109" w:name="_Toc297120499"/>
      <w:bookmarkEnd w:id="1109"/>
      <w:bookmarkStart w:id="1110" w:name="_Toc312678033"/>
      <w:bookmarkEnd w:id="1110"/>
      <w:bookmarkStart w:id="1111" w:name="_Toc296347198"/>
      <w:bookmarkEnd w:id="1111"/>
      <w:bookmarkStart w:id="1112" w:name="_Toc296891239"/>
      <w:bookmarkEnd w:id="1112"/>
      <w:bookmarkStart w:id="1113" w:name="_Toc296503199"/>
      <w:bookmarkEnd w:id="1113"/>
      <w:bookmarkStart w:id="1114" w:name="_Toc297123548"/>
      <w:bookmarkEnd w:id="1114"/>
      <w:bookmarkStart w:id="1115" w:name="_Toc300934997"/>
      <w:bookmarkEnd w:id="1115"/>
      <w:bookmarkStart w:id="1116" w:name="_Toc304295574"/>
      <w:bookmarkEnd w:id="1116"/>
      <w:bookmarkStart w:id="1117" w:name="_Toc297048385"/>
      <w:bookmarkEnd w:id="1117"/>
      <w:bookmarkStart w:id="1118" w:name="_Toc292559909"/>
      <w:bookmarkEnd w:id="1118"/>
      <w:r>
        <w:rPr>
          <w:rFonts w:hint="eastAsia" w:ascii="仿宋" w:hAnsi="仿宋" w:eastAsia="仿宋" w:cs="仿宋"/>
          <w:color w:val="auto"/>
          <w:kern w:val="1"/>
          <w:sz w:val="24"/>
          <w:highlight w:val="none"/>
        </w:rPr>
        <w:t>0.4 暂估价</w:t>
      </w:r>
    </w:p>
    <w:p w14:paraId="10D87E2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暂</w:t>
      </w:r>
      <w:bookmarkStart w:id="1119" w:name="_Toc318581176"/>
      <w:bookmarkEnd w:id="1119"/>
      <w:bookmarkStart w:id="1120" w:name="_Toc312678034"/>
      <w:bookmarkEnd w:id="1120"/>
      <w:bookmarkStart w:id="1121" w:name="_Toc312677508"/>
      <w:bookmarkEnd w:id="1121"/>
      <w:r>
        <w:rPr>
          <w:rFonts w:hint="eastAsia" w:ascii="仿宋" w:hAnsi="仿宋" w:eastAsia="仿宋" w:cs="仿宋"/>
          <w:color w:val="auto"/>
          <w:kern w:val="1"/>
          <w:sz w:val="24"/>
          <w:highlight w:val="none"/>
        </w:rPr>
        <w:t>估价材料和工程设备的明细详见附件11：《暂估价一览表》。</w:t>
      </w:r>
    </w:p>
    <w:p w14:paraId="7E4C4E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122" w:name="_Toc312678035"/>
      <w:bookmarkEnd w:id="1122"/>
      <w:bookmarkStart w:id="1123" w:name="_Toc318581177"/>
      <w:bookmarkEnd w:id="1123"/>
      <w:bookmarkStart w:id="1124" w:name="_Toc312677509"/>
      <w:bookmarkEnd w:id="1124"/>
      <w:r>
        <w:rPr>
          <w:rFonts w:hint="eastAsia" w:ascii="仿宋" w:hAnsi="仿宋" w:eastAsia="仿宋" w:cs="仿宋"/>
          <w:color w:val="auto"/>
          <w:kern w:val="1"/>
          <w:sz w:val="24"/>
          <w:highlight w:val="none"/>
        </w:rPr>
        <w:t>0.4.1 依法必须招标的暂估价项目</w:t>
      </w:r>
    </w:p>
    <w:p w14:paraId="093A978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对于依法必须招标的暂估价项目的确认和批准采取第</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种方式确定。</w:t>
      </w:r>
    </w:p>
    <w:p w14:paraId="125AC1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10.4.2 不属于依法必须招标的暂估价项目</w:t>
      </w:r>
    </w:p>
    <w:p w14:paraId="32C6650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承包人直接实施的暂估价项目的约定：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9F8BA2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10.5 暂列金额</w:t>
      </w:r>
    </w:p>
    <w:p w14:paraId="594CA61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合同当事人关于暂列金额使用的约定：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14D9853">
      <w:pPr>
        <w:spacing w:line="360" w:lineRule="exact"/>
        <w:ind w:firstLine="480" w:firstLineChars="200"/>
        <w:rPr>
          <w:rFonts w:ascii="仿宋" w:hAnsi="仿宋" w:eastAsia="仿宋" w:cs="仿宋"/>
          <w:color w:val="auto"/>
          <w:kern w:val="1"/>
          <w:sz w:val="24"/>
          <w:highlight w:val="none"/>
        </w:rPr>
      </w:pPr>
      <w:bookmarkStart w:id="1125" w:name="_Toc351203643"/>
      <w:bookmarkEnd w:id="1125"/>
      <w:r>
        <w:rPr>
          <w:rFonts w:hint="eastAsia" w:ascii="仿宋" w:hAnsi="仿宋" w:eastAsia="仿宋" w:cs="仿宋"/>
          <w:color w:val="auto"/>
          <w:kern w:val="1"/>
          <w:sz w:val="24"/>
          <w:highlight w:val="none"/>
        </w:rPr>
        <w:t>11. 价格调整</w:t>
      </w:r>
    </w:p>
    <w:p w14:paraId="7200A2A8">
      <w:pPr>
        <w:spacing w:line="360" w:lineRule="exact"/>
        <w:ind w:firstLine="480" w:firstLineChars="200"/>
        <w:rPr>
          <w:rFonts w:ascii="仿宋" w:hAnsi="仿宋" w:eastAsia="仿宋" w:cs="仿宋"/>
          <w:color w:val="auto"/>
          <w:kern w:val="1"/>
          <w:sz w:val="24"/>
          <w:highlight w:val="none"/>
        </w:rPr>
      </w:pPr>
      <w:bookmarkStart w:id="1126" w:name="_Toc297048387"/>
      <w:bookmarkEnd w:id="1126"/>
      <w:bookmarkStart w:id="1127" w:name="_Toc303539157"/>
      <w:bookmarkEnd w:id="1127"/>
      <w:bookmarkStart w:id="1128" w:name="_Toc304295577"/>
      <w:bookmarkEnd w:id="1128"/>
      <w:bookmarkStart w:id="1129" w:name="_Toc300935000"/>
      <w:bookmarkEnd w:id="1129"/>
      <w:bookmarkStart w:id="1130" w:name="_Toc312678039"/>
      <w:bookmarkEnd w:id="1130"/>
      <w:bookmarkStart w:id="1131" w:name="_Toc296891029"/>
      <w:bookmarkEnd w:id="1131"/>
      <w:bookmarkStart w:id="1132" w:name="_Toc297120501"/>
      <w:bookmarkEnd w:id="1132"/>
      <w:bookmarkStart w:id="1133" w:name="_Toc297123550"/>
      <w:bookmarkEnd w:id="1133"/>
      <w:bookmarkStart w:id="1134" w:name="_Toc296944540"/>
      <w:bookmarkEnd w:id="1134"/>
      <w:bookmarkStart w:id="1135" w:name="_Toc292559911"/>
      <w:bookmarkEnd w:id="1135"/>
      <w:bookmarkStart w:id="1136" w:name="_Toc296347200"/>
      <w:bookmarkEnd w:id="1136"/>
      <w:bookmarkStart w:id="1137" w:name="_Toc292559406"/>
      <w:bookmarkEnd w:id="1137"/>
      <w:bookmarkStart w:id="1138" w:name="_Toc296503201"/>
      <w:bookmarkEnd w:id="1138"/>
      <w:bookmarkStart w:id="1139" w:name="_Toc296346702"/>
      <w:bookmarkEnd w:id="1139"/>
      <w:bookmarkStart w:id="1140" w:name="_Toc297216209"/>
      <w:bookmarkEnd w:id="1140"/>
      <w:bookmarkStart w:id="1141" w:name="_Toc296891241"/>
      <w:bookmarkEnd w:id="1141"/>
      <w:r>
        <w:rPr>
          <w:rFonts w:hint="eastAsia" w:ascii="仿宋" w:hAnsi="仿宋" w:eastAsia="仿宋" w:cs="仿宋"/>
          <w:color w:val="auto"/>
          <w:kern w:val="1"/>
          <w:sz w:val="24"/>
          <w:highlight w:val="none"/>
        </w:rPr>
        <w:t>11.1 市场价格波动引起的调整</w:t>
      </w:r>
    </w:p>
    <w:p w14:paraId="36529AE4">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市场价格波动是否调整合同价格的约定：</w:t>
      </w:r>
      <w:r>
        <w:rPr>
          <w:rFonts w:hint="eastAsia" w:ascii="仿宋" w:hAnsi="仿宋" w:eastAsia="仿宋" w:cs="仿宋"/>
          <w:color w:val="auto"/>
          <w:kern w:val="1"/>
          <w:sz w:val="24"/>
          <w:highlight w:val="none"/>
          <w:u w:val="single"/>
        </w:rPr>
        <w:t>从工程投标截止日到工程竣工期间材料价格、人工费、机械费等一律不作调整。</w:t>
      </w:r>
    </w:p>
    <w:p w14:paraId="139B02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因市场价格波动调整合同价格，采用以下第</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 xml:space="preserve"> /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种方式对合同价格进行调整：</w:t>
      </w:r>
    </w:p>
    <w:p w14:paraId="0C914D7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第1种方式：采用价格指数进行价格调整。</w:t>
      </w:r>
    </w:p>
    <w:p w14:paraId="30F48D2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关于各可调因子、定值和变值权重，以及基本价格指数及其来源的约定：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 xml:space="preserve">；  </w:t>
      </w:r>
    </w:p>
    <w:p w14:paraId="6A200C1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第2种方式：采用造价信息进行价格调整。</w:t>
      </w:r>
    </w:p>
    <w:p w14:paraId="51EA5B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关于基准价格的约定：  </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sz w:val="24"/>
          <w:highlight w:val="none"/>
          <w:u w:val="single"/>
        </w:rPr>
        <w:t>。</w:t>
      </w:r>
    </w:p>
    <w:p w14:paraId="1E3AEF9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%时，或材料单价跌幅以已标价工程量清单或预算书中载明材料单价为基础超过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%时，一律不予调整。</w:t>
      </w:r>
    </w:p>
    <w:p w14:paraId="2287F1F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%时，材料单价涨幅以已标价工程量清单或预算书中载明材料单价为基础超过</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%时，一律不予调整。</w:t>
      </w:r>
    </w:p>
    <w:p w14:paraId="40F8809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%时，一律不予调整。</w:t>
      </w:r>
    </w:p>
    <w:p w14:paraId="1ED0AEC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第3种方式：其他价格调整方式：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8B4BB6A">
      <w:pPr>
        <w:spacing w:line="360" w:lineRule="exact"/>
        <w:ind w:firstLine="480" w:firstLineChars="200"/>
        <w:rPr>
          <w:rFonts w:ascii="仿宋" w:hAnsi="仿宋" w:eastAsia="仿宋" w:cs="仿宋"/>
          <w:color w:val="auto"/>
          <w:kern w:val="1"/>
          <w:sz w:val="24"/>
          <w:highlight w:val="none"/>
        </w:rPr>
      </w:pPr>
      <w:bookmarkStart w:id="1142" w:name="_Toc292559915"/>
      <w:bookmarkEnd w:id="1142"/>
      <w:bookmarkStart w:id="1143" w:name="_Toc297123552"/>
      <w:bookmarkEnd w:id="1143"/>
      <w:bookmarkStart w:id="1144" w:name="_Toc296891033"/>
      <w:bookmarkEnd w:id="1144"/>
      <w:bookmarkStart w:id="1145" w:name="_Toc351203644"/>
      <w:bookmarkEnd w:id="1145"/>
      <w:bookmarkStart w:id="1146" w:name="_Toc296347204"/>
      <w:bookmarkEnd w:id="1146"/>
      <w:bookmarkStart w:id="1147" w:name="_Toc304295579"/>
      <w:bookmarkEnd w:id="1147"/>
      <w:bookmarkStart w:id="1148" w:name="_Toc296891245"/>
      <w:bookmarkEnd w:id="1148"/>
      <w:bookmarkStart w:id="1149" w:name="_Toc296503205"/>
      <w:bookmarkEnd w:id="1149"/>
      <w:bookmarkStart w:id="1150" w:name="_Toc300935002"/>
      <w:bookmarkEnd w:id="1150"/>
      <w:bookmarkStart w:id="1151" w:name="_Toc312678040"/>
      <w:bookmarkEnd w:id="1151"/>
      <w:bookmarkStart w:id="1152" w:name="_Toc292559410"/>
      <w:bookmarkEnd w:id="1152"/>
      <w:bookmarkStart w:id="1153" w:name="_Toc297216211"/>
      <w:bookmarkEnd w:id="1153"/>
      <w:bookmarkStart w:id="1154" w:name="_Toc297048391"/>
      <w:bookmarkEnd w:id="1154"/>
      <w:bookmarkStart w:id="1155" w:name="_Toc296346706"/>
      <w:bookmarkEnd w:id="1155"/>
      <w:bookmarkStart w:id="1156" w:name="_Toc303539159"/>
      <w:bookmarkEnd w:id="1156"/>
      <w:bookmarkStart w:id="1157" w:name="_Toc297120505"/>
      <w:bookmarkEnd w:id="1157"/>
      <w:bookmarkStart w:id="1158" w:name="_Toc296944544"/>
      <w:bookmarkEnd w:id="1158"/>
      <w:r>
        <w:rPr>
          <w:rFonts w:hint="eastAsia" w:ascii="仿宋" w:hAnsi="仿宋" w:eastAsia="仿宋" w:cs="仿宋"/>
          <w:color w:val="auto"/>
          <w:kern w:val="1"/>
          <w:sz w:val="24"/>
          <w:highlight w:val="none"/>
        </w:rPr>
        <w:t>12. 合同价格、计量与支付</w:t>
      </w:r>
    </w:p>
    <w:p w14:paraId="48F6A922">
      <w:pPr>
        <w:spacing w:line="360" w:lineRule="exact"/>
        <w:ind w:firstLine="480" w:firstLineChars="200"/>
        <w:outlineLvl w:val="0"/>
        <w:rPr>
          <w:rFonts w:ascii="仿宋" w:hAnsi="仿宋" w:eastAsia="仿宋" w:cs="仿宋"/>
          <w:color w:val="auto"/>
          <w:kern w:val="1"/>
          <w:sz w:val="24"/>
          <w:highlight w:val="none"/>
        </w:rPr>
      </w:pPr>
      <w:bookmarkStart w:id="1159" w:name="_Toc296891034"/>
      <w:bookmarkEnd w:id="1159"/>
      <w:bookmarkStart w:id="1160" w:name="_Toc297120506"/>
      <w:bookmarkEnd w:id="1160"/>
      <w:bookmarkStart w:id="1161" w:name="_Toc304295580"/>
      <w:bookmarkEnd w:id="1161"/>
      <w:bookmarkStart w:id="1162" w:name="_Toc297048392"/>
      <w:bookmarkEnd w:id="1162"/>
      <w:bookmarkStart w:id="1163" w:name="_Toc296944545"/>
      <w:bookmarkEnd w:id="1163"/>
      <w:bookmarkStart w:id="1164" w:name="_Toc292559916"/>
      <w:bookmarkEnd w:id="1164"/>
      <w:bookmarkStart w:id="1165" w:name="_Toc267251461"/>
      <w:bookmarkEnd w:id="1165"/>
      <w:bookmarkStart w:id="1166" w:name="_Toc297216212"/>
      <w:bookmarkEnd w:id="1166"/>
      <w:bookmarkStart w:id="1167" w:name="_Toc296891246"/>
      <w:bookmarkEnd w:id="1167"/>
      <w:bookmarkStart w:id="1168" w:name="_Toc292559411"/>
      <w:bookmarkEnd w:id="1168"/>
      <w:bookmarkStart w:id="1169" w:name="_Toc300935003"/>
      <w:bookmarkEnd w:id="1169"/>
      <w:bookmarkStart w:id="1170" w:name="_Toc296347205"/>
      <w:bookmarkEnd w:id="1170"/>
      <w:bookmarkStart w:id="1171" w:name="_Toc312678041"/>
      <w:bookmarkEnd w:id="1171"/>
      <w:bookmarkStart w:id="1172" w:name="_Toc296503206"/>
      <w:bookmarkEnd w:id="1172"/>
      <w:bookmarkStart w:id="1173" w:name="_Toc297123553"/>
      <w:bookmarkEnd w:id="1173"/>
      <w:bookmarkStart w:id="1174" w:name="_Toc296346707"/>
      <w:bookmarkEnd w:id="1174"/>
      <w:bookmarkStart w:id="1175" w:name="_Toc303539160"/>
      <w:bookmarkEnd w:id="1175"/>
      <w:bookmarkStart w:id="1176" w:name="_Toc143449991"/>
      <w:bookmarkStart w:id="1177" w:name="_Toc2055"/>
      <w:bookmarkStart w:id="1178" w:name="_Toc144969123"/>
      <w:bookmarkStart w:id="1179" w:name="_Toc30772"/>
      <w:r>
        <w:rPr>
          <w:rFonts w:hint="eastAsia" w:ascii="仿宋" w:hAnsi="仿宋" w:eastAsia="仿宋" w:cs="仿宋"/>
          <w:color w:val="auto"/>
          <w:kern w:val="1"/>
          <w:sz w:val="24"/>
          <w:highlight w:val="none"/>
        </w:rPr>
        <w:t>12.1 合同价格形式</w:t>
      </w:r>
      <w:bookmarkEnd w:id="1176"/>
      <w:bookmarkEnd w:id="1177"/>
      <w:bookmarkEnd w:id="1178"/>
      <w:bookmarkEnd w:id="1179"/>
    </w:p>
    <w:p w14:paraId="711546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1、单价合同。</w:t>
      </w:r>
    </w:p>
    <w:p w14:paraId="1373181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综合单价包含的风险范围：</w:t>
      </w:r>
      <w:r>
        <w:rPr>
          <w:rFonts w:hint="eastAsia" w:ascii="仿宋" w:hAnsi="仿宋" w:eastAsia="仿宋" w:cs="仿宋"/>
          <w:color w:val="auto"/>
          <w:kern w:val="1"/>
          <w:sz w:val="24"/>
          <w:highlight w:val="none"/>
          <w:u w:val="single"/>
        </w:rPr>
        <w:t xml:space="preserve">   人工、材料、机械费用等一律不作调整     </w:t>
      </w:r>
      <w:r>
        <w:rPr>
          <w:rFonts w:hint="eastAsia" w:ascii="仿宋" w:hAnsi="仿宋" w:eastAsia="仿宋" w:cs="仿宋"/>
          <w:color w:val="auto"/>
          <w:kern w:val="1"/>
          <w:sz w:val="24"/>
          <w:highlight w:val="none"/>
        </w:rPr>
        <w:t>。</w:t>
      </w:r>
    </w:p>
    <w:p w14:paraId="32EB9750">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风险费用的计算方法：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承包人</w:t>
      </w:r>
      <w:r>
        <w:rPr>
          <w:rFonts w:hint="eastAsia" w:ascii="仿宋" w:hAnsi="仿宋" w:eastAsia="仿宋" w:cs="仿宋"/>
          <w:color w:val="auto"/>
          <w:sz w:val="24"/>
          <w:highlight w:val="none"/>
          <w:u w:val="single"/>
        </w:rPr>
        <w:t>在投标报价时已经考虑，不再另行计取</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A52D94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风险范围以外合同价格的调整方法：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rPr>
        <w:t>合同价±设计变更±合同约定调整内容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0A7E6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2、总价合同。</w:t>
      </w:r>
    </w:p>
    <w:p w14:paraId="2F7DD7DF">
      <w:pPr>
        <w:spacing w:line="360" w:lineRule="exact"/>
        <w:ind w:firstLine="480" w:firstLineChars="200"/>
        <w:rPr>
          <w:rFonts w:ascii="仿宋" w:hAnsi="仿宋" w:eastAsia="仿宋" w:cs="仿宋"/>
          <w:b/>
          <w:color w:val="auto"/>
          <w:sz w:val="24"/>
          <w:highlight w:val="none"/>
        </w:rPr>
      </w:pPr>
      <w:r>
        <w:rPr>
          <w:rFonts w:hint="eastAsia" w:ascii="仿宋" w:hAnsi="仿宋" w:eastAsia="仿宋" w:cs="仿宋"/>
          <w:color w:val="auto"/>
          <w:kern w:val="1"/>
          <w:sz w:val="24"/>
          <w:highlight w:val="none"/>
        </w:rPr>
        <w:t>总价包含的风险范围：</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rPr>
        <w:t>。</w:t>
      </w:r>
    </w:p>
    <w:p w14:paraId="1587194B">
      <w:pPr>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风险费用的计算方法：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rPr>
        <w:t>。</w:t>
      </w:r>
    </w:p>
    <w:p w14:paraId="3F633D51">
      <w:pPr>
        <w:spacing w:line="360" w:lineRule="exact"/>
        <w:ind w:firstLine="480" w:firstLineChars="200"/>
        <w:rPr>
          <w:rFonts w:ascii="仿宋" w:hAnsi="仿宋" w:eastAsia="仿宋" w:cs="仿宋"/>
          <w:b/>
          <w:color w:val="auto"/>
          <w:sz w:val="24"/>
          <w:highlight w:val="none"/>
        </w:rPr>
      </w:pPr>
      <w:r>
        <w:rPr>
          <w:rFonts w:hint="eastAsia" w:ascii="仿宋" w:hAnsi="仿宋" w:eastAsia="仿宋" w:cs="仿宋"/>
          <w:color w:val="auto"/>
          <w:kern w:val="1"/>
          <w:sz w:val="24"/>
          <w:highlight w:val="none"/>
        </w:rPr>
        <w:t>风险范围以外合同价款调整方法：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rPr>
        <w:t>。</w:t>
      </w:r>
    </w:p>
    <w:p w14:paraId="352FB24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本项</w:t>
      </w:r>
      <w:r>
        <w:rPr>
          <w:rFonts w:hint="eastAsia" w:ascii="仿宋" w:hAnsi="仿宋" w:eastAsia="仿宋" w:cs="仿宋"/>
          <w:color w:val="auto"/>
          <w:sz w:val="24"/>
          <w:highlight w:val="none"/>
        </w:rPr>
        <w:t>目采用标前核项核量的方式，即开标前对清单项（含核漏项）、项目名称、项目特征、工作内容、计量单位、工程量偏差进行核对。</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提出工程量清单调整（或异议）的截止时间：投标截止时间前（提供书面清单特征描述不符的依据或工程量计算书）。</w:t>
      </w:r>
    </w:p>
    <w:p w14:paraId="0F134AF9">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1、由</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或其委托的造价咨询单位编制的工程量清单，作为本次招标（采购）的基础依据，工程量清单的清单项、项目名称、项目特征描述、工作内容、计量单位等内容均是按图纸、磋商文件等相关资料编制，</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要认真核对，如有疑问在投标截止时间 5日前网上提出；中标后以上内容均不再核对，中标人应按图纸、磋商文件、答疑等相关资料要求内容完成，项目实施过程中所报综合单价不调整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工程施工工艺出现调整情况除外）。</w:t>
      </w:r>
      <w:r>
        <w:rPr>
          <w:rFonts w:hint="eastAsia" w:ascii="仿宋" w:hAnsi="仿宋" w:eastAsia="仿宋" w:cs="仿宋"/>
          <w:color w:val="auto"/>
          <w:sz w:val="24"/>
          <w:highlight w:val="none"/>
        </w:rPr>
        <w:t>投标（中标）单位因没有按照上述要求校核施工图纸和工程量清单造成的一切后果和责任自行承担。中标后，图纸、答疑（更正）、磋商文件、工程量清单有不一致时，解释顺序按答疑（更正）、磋商文件、图纸、工程量清单的先后顺序解释。</w:t>
      </w:r>
    </w:p>
    <w:p w14:paraId="5067887C">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2、若</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未在规定时间内进行核对，或者因</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原因未在规定时间内完成核对，参与本项目投标即视同</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认可</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所提供的工程量清单。</w:t>
      </w:r>
    </w:p>
    <w:p w14:paraId="6464D69C">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3、如果施工过程中由于施工条件、地质水文、工程变更、工程量清单中出现缺项、工程量偏差等变化按照以下变更管理办法调整；</w:t>
      </w:r>
    </w:p>
    <w:p w14:paraId="53788148">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 已标价工程量清单中有适用于变更工程项目的，应采用该项目的综合单价。 </w:t>
      </w:r>
    </w:p>
    <w:p w14:paraId="2CB692DA">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 已标价工程量清单中没有适用但又类似于变更工程项目的，可在合理范围内参照类似项目的综合单价。 </w:t>
      </w:r>
    </w:p>
    <w:p w14:paraId="7C6D35F1">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 已标价工程量清单中没有适用也没有类似于变更工程项目的，</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根据投标时计价依据和方法，结合投标下浮率计算新的综合单价，报监理单位或造价咨询单位审核，发包人确认。新编综合单价的材料，中标价中有材料价的执行中标材料价（不一致时以低价的为准），中标材料价中没有的，有信息价的按照当期信息价执行，没有信息价的，由发包人、承包人、监理单位、造价咨询单位根据价差调整原则共同询价确定调价方案，发包人拥有最终决定权。</w:t>
      </w:r>
    </w:p>
    <w:p w14:paraId="42BB7D4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承包人投标下浮率可按下列公式计算： </w:t>
      </w:r>
    </w:p>
    <w:p w14:paraId="21AAA40F">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投标下浮率＝（1－中标价／最高限价）×100%  </w:t>
      </w:r>
    </w:p>
    <w:p w14:paraId="5794708A">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2）承包人中标后，工程量漏报、少报等均视为优惠，不再作为计价的依据。</w:t>
      </w:r>
    </w:p>
    <w:p w14:paraId="5422AA8A">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3）</w:t>
      </w:r>
      <w:r>
        <w:rPr>
          <w:rFonts w:hint="eastAsia" w:ascii="仿宋" w:hAnsi="仿宋" w:eastAsia="仿宋" w:cs="仿宋"/>
          <w:bCs/>
          <w:color w:val="auto"/>
          <w:kern w:val="1"/>
          <w:sz w:val="24"/>
          <w:highlight w:val="none"/>
          <w:u w:val="single"/>
        </w:rPr>
        <w:t>因报价时采用的技术措施或组织措施考虑不足，不能满足施工要求需要调整方案，造成费用增加的一律不得调整合同价款。</w:t>
      </w:r>
      <w:r>
        <w:rPr>
          <w:rFonts w:hint="eastAsia" w:ascii="仿宋" w:hAnsi="仿宋" w:eastAsia="仿宋" w:cs="仿宋"/>
          <w:bCs/>
          <w:color w:val="auto"/>
          <w:kern w:val="1"/>
          <w:sz w:val="24"/>
          <w:highlight w:val="none"/>
        </w:rPr>
        <w:t xml:space="preserve"> </w:t>
      </w:r>
    </w:p>
    <w:p w14:paraId="2416E4C1">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4）</w:t>
      </w:r>
      <w:r>
        <w:rPr>
          <w:rFonts w:hint="eastAsia" w:ascii="仿宋" w:hAnsi="仿宋" w:eastAsia="仿宋" w:cs="仿宋"/>
          <w:bCs/>
          <w:color w:val="auto"/>
          <w:kern w:val="1"/>
          <w:sz w:val="24"/>
          <w:highlight w:val="none"/>
          <w:u w:val="single"/>
        </w:rPr>
        <w:t xml:space="preserve">因天气、地形、地质、施工环境等条件发生变化，采取临时措施增加的费用一律不得调整合同价款。 </w:t>
      </w:r>
    </w:p>
    <w:p w14:paraId="65BC28A9">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5）</w:t>
      </w:r>
      <w:r>
        <w:rPr>
          <w:rFonts w:hint="eastAsia" w:ascii="仿宋" w:hAnsi="仿宋" w:eastAsia="仿宋" w:cs="仿宋"/>
          <w:bCs/>
          <w:color w:val="auto"/>
          <w:kern w:val="1"/>
          <w:sz w:val="24"/>
          <w:highlight w:val="none"/>
          <w:u w:val="single"/>
        </w:rPr>
        <w:t>与其他工程施工单位发生交叉作业而增加的费用一律不得调整合同价款。</w:t>
      </w:r>
      <w:r>
        <w:rPr>
          <w:rFonts w:hint="eastAsia" w:ascii="仿宋" w:hAnsi="仿宋" w:eastAsia="仿宋" w:cs="仿宋"/>
          <w:bCs/>
          <w:color w:val="auto"/>
          <w:kern w:val="1"/>
          <w:sz w:val="24"/>
          <w:highlight w:val="none"/>
        </w:rPr>
        <w:t xml:space="preserve"> </w:t>
      </w:r>
    </w:p>
    <w:p w14:paraId="5120A5E6">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6）</w:t>
      </w:r>
      <w:r>
        <w:rPr>
          <w:rFonts w:hint="eastAsia" w:ascii="仿宋" w:hAnsi="仿宋" w:eastAsia="仿宋" w:cs="仿宋"/>
          <w:bCs/>
          <w:color w:val="auto"/>
          <w:kern w:val="1"/>
          <w:sz w:val="24"/>
          <w:highlight w:val="none"/>
          <w:u w:val="single"/>
        </w:rPr>
        <w:t>为保证工程质量采取的所有的技术和组织措施所增加的费用，不论发包人是否同意均不得调整合同价款。</w:t>
      </w:r>
      <w:r>
        <w:rPr>
          <w:rFonts w:hint="eastAsia" w:ascii="仿宋" w:hAnsi="仿宋" w:eastAsia="仿宋" w:cs="仿宋"/>
          <w:bCs/>
          <w:color w:val="auto"/>
          <w:kern w:val="1"/>
          <w:sz w:val="24"/>
          <w:highlight w:val="none"/>
        </w:rPr>
        <w:t xml:space="preserve"> </w:t>
      </w:r>
    </w:p>
    <w:p w14:paraId="0A92CD81">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7）</w:t>
      </w:r>
      <w:r>
        <w:rPr>
          <w:rFonts w:hint="eastAsia" w:ascii="仿宋" w:hAnsi="仿宋" w:eastAsia="仿宋" w:cs="仿宋"/>
          <w:bCs/>
          <w:color w:val="auto"/>
          <w:kern w:val="1"/>
          <w:sz w:val="24"/>
          <w:highlight w:val="none"/>
          <w:u w:val="single"/>
        </w:rPr>
        <w:t>为应对临时停水、停电，承包人应自备发电设备、取水设备等，所增加费用一律不得调整合同价款。</w:t>
      </w:r>
      <w:r>
        <w:rPr>
          <w:rFonts w:hint="eastAsia" w:ascii="仿宋" w:hAnsi="仿宋" w:eastAsia="仿宋" w:cs="仿宋"/>
          <w:bCs/>
          <w:color w:val="auto"/>
          <w:kern w:val="1"/>
          <w:sz w:val="24"/>
          <w:highlight w:val="none"/>
        </w:rPr>
        <w:t xml:space="preserve"> </w:t>
      </w:r>
    </w:p>
    <w:p w14:paraId="37C8CD8E">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8）</w:t>
      </w:r>
      <w:r>
        <w:rPr>
          <w:rFonts w:hint="eastAsia" w:ascii="仿宋" w:hAnsi="仿宋" w:eastAsia="仿宋" w:cs="仿宋"/>
          <w:bCs/>
          <w:color w:val="auto"/>
          <w:kern w:val="1"/>
          <w:sz w:val="24"/>
          <w:highlight w:val="none"/>
          <w:u w:val="single"/>
        </w:rPr>
        <w:t>施工机械进出场、安装拆卸、移机等不论实际情况如何，均不得调整合同价款。</w:t>
      </w:r>
    </w:p>
    <w:p w14:paraId="11EDAB6C">
      <w:pPr>
        <w:spacing w:line="3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9）涉及工程造价变更的签证未经发包人加盖行政公章并经项目负责人签名的签证，一律不增加造价，签证无效。</w:t>
      </w:r>
    </w:p>
    <w:p w14:paraId="57A5C1BF">
      <w:pPr>
        <w:spacing w:line="3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10）发生工程变更造价的项目必须在施工之前，因情况紧急的并经发包人法定代表人或者项目负责人口头同意后，最迟必须在施工后三日内履行发包人加盖行政公章并经项目负责人共同签章确认，逾期要求签章的，一律不增加造价，签证无效。</w:t>
      </w:r>
    </w:p>
    <w:p w14:paraId="0DFA9D4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3、其他价格方式：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A24BE2E">
      <w:pPr>
        <w:spacing w:line="360" w:lineRule="exact"/>
        <w:ind w:firstLine="480" w:firstLineChars="200"/>
        <w:rPr>
          <w:rFonts w:ascii="仿宋" w:hAnsi="仿宋" w:eastAsia="仿宋" w:cs="仿宋"/>
          <w:color w:val="auto"/>
          <w:kern w:val="1"/>
          <w:sz w:val="24"/>
          <w:highlight w:val="none"/>
        </w:rPr>
      </w:pPr>
      <w:bookmarkStart w:id="1180" w:name="_Toc296346708"/>
      <w:bookmarkEnd w:id="1180"/>
      <w:bookmarkStart w:id="1181" w:name="_Toc297048393"/>
      <w:bookmarkEnd w:id="1181"/>
      <w:bookmarkStart w:id="1182" w:name="_Toc292559412"/>
      <w:bookmarkEnd w:id="1182"/>
      <w:bookmarkStart w:id="1183" w:name="_Toc292559917"/>
      <w:bookmarkEnd w:id="1183"/>
      <w:bookmarkStart w:id="1184" w:name="_Toc296891247"/>
      <w:bookmarkEnd w:id="1184"/>
      <w:bookmarkStart w:id="1185" w:name="_Toc304295581"/>
      <w:bookmarkEnd w:id="1185"/>
      <w:bookmarkStart w:id="1186" w:name="_Toc303539161"/>
      <w:bookmarkEnd w:id="1186"/>
      <w:bookmarkStart w:id="1187" w:name="_Toc297120507"/>
      <w:bookmarkEnd w:id="1187"/>
      <w:bookmarkStart w:id="1188" w:name="_Toc296944546"/>
      <w:bookmarkEnd w:id="1188"/>
      <w:bookmarkStart w:id="1189" w:name="_Toc296347206"/>
      <w:bookmarkEnd w:id="1189"/>
      <w:bookmarkStart w:id="1190" w:name="_Toc296891035"/>
      <w:bookmarkEnd w:id="1190"/>
      <w:bookmarkStart w:id="1191" w:name="_Toc300935004"/>
      <w:bookmarkEnd w:id="1191"/>
      <w:bookmarkStart w:id="1192" w:name="_Toc312678042"/>
      <w:bookmarkEnd w:id="1192"/>
      <w:bookmarkStart w:id="1193" w:name="_Toc296503207"/>
      <w:bookmarkEnd w:id="1193"/>
      <w:bookmarkStart w:id="1194" w:name="_Toc297123554"/>
      <w:bookmarkEnd w:id="1194"/>
      <w:bookmarkStart w:id="1195" w:name="_Toc297216213"/>
      <w:bookmarkEnd w:id="1195"/>
      <w:r>
        <w:rPr>
          <w:rFonts w:hint="eastAsia" w:ascii="仿宋" w:hAnsi="仿宋" w:eastAsia="仿宋" w:cs="仿宋"/>
          <w:color w:val="auto"/>
          <w:kern w:val="1"/>
          <w:sz w:val="24"/>
          <w:highlight w:val="none"/>
        </w:rPr>
        <w:t>12.2 预付款</w:t>
      </w:r>
    </w:p>
    <w:p w14:paraId="26C49FC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12.2.1 预付款的支付</w:t>
      </w:r>
    </w:p>
    <w:p w14:paraId="713EFA5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预付款支付比例或金额：</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32DF087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预付款支付期限：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60DDA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预付款扣回的方式：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E248E3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12.2.2 预付款担保</w:t>
      </w:r>
    </w:p>
    <w:p w14:paraId="4038A11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承包人提交预付款担保的期限：</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7C41C64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预付款担保的形式为：</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403925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 计量</w:t>
      </w:r>
    </w:p>
    <w:p w14:paraId="19EF313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12.3.1 计量原则</w:t>
      </w:r>
    </w:p>
    <w:p w14:paraId="5171DD0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工程量计算规则：</w:t>
      </w:r>
      <w:r>
        <w:rPr>
          <w:rFonts w:hint="eastAsia" w:ascii="仿宋" w:hAnsi="仿宋" w:eastAsia="仿宋" w:cs="仿宋"/>
          <w:color w:val="auto"/>
          <w:kern w:val="1"/>
          <w:sz w:val="24"/>
          <w:highlight w:val="none"/>
          <w:u w:val="single"/>
        </w:rPr>
        <w:t xml:space="preserve"> 2018 版安徽省建设工程计价依据所确定的工程量计量规则执行，如有不一致的，以有利于发包人的计量规则执行 。工程中期结算与竣工结（决）算以实际监理人认可并经发包人批准的工程量，按工程量清单的单价和合价计算支付金额。</w:t>
      </w:r>
    </w:p>
    <w:p w14:paraId="6212576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12.3.2 计量周期</w:t>
      </w:r>
    </w:p>
    <w:p w14:paraId="5F96E0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关于计量周期的约定：</w:t>
      </w:r>
      <w:r>
        <w:rPr>
          <w:rFonts w:hint="eastAsia" w:ascii="仿宋" w:hAnsi="仿宋" w:eastAsia="仿宋" w:cs="仿宋"/>
          <w:color w:val="auto"/>
          <w:kern w:val="1"/>
          <w:sz w:val="24"/>
          <w:szCs w:val="24"/>
          <w:highlight w:val="none"/>
          <w:u w:val="single"/>
        </w:rPr>
        <w:t>一次性进行计量</w:t>
      </w:r>
    </w:p>
    <w:p w14:paraId="0973811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12.3.3 单价合同的计量</w:t>
      </w:r>
    </w:p>
    <w:p w14:paraId="0D647370">
      <w:pPr>
        <w:spacing w:line="360" w:lineRule="exact"/>
        <w:ind w:firstLine="480" w:firstLineChars="200"/>
        <w:rPr>
          <w:rFonts w:hint="eastAsia" w:ascii="仿宋" w:hAnsi="仿宋" w:eastAsia="仿宋" w:cs="仿宋"/>
          <w:color w:val="auto"/>
          <w:kern w:val="1"/>
          <w:sz w:val="24"/>
          <w:highlight w:val="none"/>
          <w:u w:val="single"/>
          <w:lang w:eastAsia="zh-CN"/>
        </w:rPr>
      </w:pPr>
      <w:r>
        <w:rPr>
          <w:rFonts w:hint="eastAsia" w:ascii="仿宋" w:hAnsi="仿宋" w:eastAsia="仿宋" w:cs="仿宋"/>
          <w:color w:val="auto"/>
          <w:kern w:val="1"/>
          <w:sz w:val="24"/>
          <w:highlight w:val="none"/>
        </w:rPr>
        <w:t>关于单价合同计量的约定：</w:t>
      </w:r>
      <w:r>
        <w:rPr>
          <w:rFonts w:hint="eastAsia" w:ascii="仿宋" w:hAnsi="仿宋" w:eastAsia="仿宋" w:cs="仿宋"/>
          <w:color w:val="auto"/>
          <w:kern w:val="1"/>
          <w:sz w:val="24"/>
          <w:highlight w:val="none"/>
          <w:u w:val="single"/>
          <w:lang w:val="en-US" w:eastAsia="zh-CN"/>
        </w:rPr>
        <w:t>/</w:t>
      </w:r>
    </w:p>
    <w:p w14:paraId="7A6354A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关于总价合同计量的约定：</w:t>
      </w:r>
      <w:r>
        <w:rPr>
          <w:rFonts w:hint="eastAsia" w:ascii="仿宋" w:hAnsi="仿宋" w:eastAsia="仿宋" w:cs="仿宋"/>
          <w:color w:val="auto"/>
          <w:kern w:val="1"/>
          <w:sz w:val="24"/>
          <w:highlight w:val="none"/>
          <w:u w:val="single"/>
        </w:rPr>
        <w:t xml:space="preserve">执行通用条款     </w:t>
      </w:r>
      <w:r>
        <w:rPr>
          <w:rFonts w:hint="eastAsia" w:ascii="仿宋" w:hAnsi="仿宋" w:eastAsia="仿宋" w:cs="仿宋"/>
          <w:color w:val="auto"/>
          <w:kern w:val="1"/>
          <w:sz w:val="24"/>
          <w:highlight w:val="none"/>
        </w:rPr>
        <w:t>。</w:t>
      </w:r>
    </w:p>
    <w:p w14:paraId="35B6C08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12.3.5总价合同采用支付分解表计量支付的，是否适用第12.3.4 项〔总价合同的计量〕约定进行计量：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CCD320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12.3.6 其他价格形式合同的计量</w:t>
      </w:r>
    </w:p>
    <w:p w14:paraId="42248CF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其他价格形式的计量方式和程序：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1E6C9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 工程进度款支付</w:t>
      </w:r>
    </w:p>
    <w:p w14:paraId="20A3D4F1">
      <w:pPr>
        <w:spacing w:line="360" w:lineRule="exact"/>
        <w:ind w:firstLine="480" w:firstLineChars="200"/>
        <w:rPr>
          <w:rFonts w:hint="eastAsia" w:ascii="仿宋" w:hAnsi="仿宋" w:eastAsia="仿宋" w:cs="仿宋"/>
          <w:color w:val="auto"/>
          <w:sz w:val="24"/>
          <w:highlight w:val="none"/>
        </w:rPr>
      </w:pPr>
      <w:bookmarkStart w:id="1196" w:name="_Toc300935006"/>
      <w:bookmarkEnd w:id="1196"/>
      <w:bookmarkStart w:id="1197" w:name="_Toc292559416"/>
      <w:bookmarkEnd w:id="1197"/>
      <w:bookmarkStart w:id="1198" w:name="_Toc296891251"/>
      <w:bookmarkEnd w:id="1198"/>
      <w:bookmarkStart w:id="1199" w:name="_Toc297120511"/>
      <w:bookmarkEnd w:id="1199"/>
      <w:bookmarkStart w:id="1200" w:name="_Toc297123556"/>
      <w:bookmarkEnd w:id="1200"/>
      <w:bookmarkStart w:id="1201" w:name="_Toc297216215"/>
      <w:bookmarkEnd w:id="1201"/>
      <w:bookmarkStart w:id="1202" w:name="_Toc303539163"/>
      <w:bookmarkEnd w:id="1202"/>
      <w:bookmarkStart w:id="1203" w:name="_Toc297048397"/>
      <w:bookmarkEnd w:id="1203"/>
      <w:bookmarkStart w:id="1204" w:name="_Toc296347210"/>
      <w:bookmarkEnd w:id="1204"/>
      <w:bookmarkStart w:id="1205" w:name="_Toc296346712"/>
      <w:bookmarkEnd w:id="1205"/>
      <w:bookmarkStart w:id="1206" w:name="_Toc296503211"/>
      <w:bookmarkEnd w:id="1206"/>
      <w:bookmarkStart w:id="1207" w:name="_Toc292559921"/>
      <w:bookmarkEnd w:id="1207"/>
      <w:bookmarkStart w:id="1208" w:name="_Toc296944550"/>
      <w:bookmarkEnd w:id="1208"/>
      <w:bookmarkStart w:id="1209" w:name="_Toc296891039"/>
      <w:bookmarkEnd w:id="1209"/>
      <w:r>
        <w:rPr>
          <w:rFonts w:hint="eastAsia" w:ascii="仿宋" w:hAnsi="仿宋" w:eastAsia="仿宋" w:cs="仿宋"/>
          <w:color w:val="auto"/>
          <w:sz w:val="24"/>
          <w:highlight w:val="none"/>
        </w:rPr>
        <w:t>工程竣工验收合格后支付工程款的80%，</w:t>
      </w:r>
      <w:r>
        <w:rPr>
          <w:rFonts w:hint="eastAsia" w:ascii="仿宋" w:hAnsi="仿宋" w:eastAsia="仿宋" w:cs="仿宋"/>
          <w:color w:val="auto"/>
          <w:sz w:val="24"/>
          <w:highlight w:val="none"/>
          <w:lang w:val="en-US" w:eastAsia="zh-CN"/>
        </w:rPr>
        <w:t>经</w:t>
      </w:r>
      <w:r>
        <w:rPr>
          <w:rFonts w:hint="eastAsia" w:ascii="仿宋" w:hAnsi="仿宋" w:eastAsia="仿宋" w:cs="仿宋"/>
          <w:color w:val="auto"/>
          <w:sz w:val="24"/>
          <w:highlight w:val="none"/>
        </w:rPr>
        <w:t>审计部门审核完成后支付至审定价的97%，剩余3%作为质保金，待两年缺陷责任期满后结清。</w:t>
      </w:r>
    </w:p>
    <w:p w14:paraId="00BBCD1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12.4.1 付款周期</w:t>
      </w:r>
    </w:p>
    <w:p w14:paraId="3AEA967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关于付款周期的约定：</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091793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12.4.2 进度付款申请单的编制</w:t>
      </w:r>
    </w:p>
    <w:p w14:paraId="28683F6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关于进度付款申请单编制的约定：</w:t>
      </w:r>
      <w:r>
        <w:rPr>
          <w:rFonts w:hint="eastAsia" w:ascii="仿宋" w:hAnsi="仿宋" w:eastAsia="仿宋" w:cs="仿宋"/>
          <w:color w:val="auto"/>
          <w:sz w:val="24"/>
          <w:highlight w:val="none"/>
          <w:u w:val="single" w:color="000000"/>
        </w:rPr>
        <w:t>按发包人工程进度款支付管理规定执行</w:t>
      </w:r>
      <w:r>
        <w:rPr>
          <w:rFonts w:hint="eastAsia" w:ascii="仿宋" w:hAnsi="仿宋" w:eastAsia="仿宋" w:cs="仿宋"/>
          <w:color w:val="auto"/>
          <w:kern w:val="1"/>
          <w:sz w:val="24"/>
          <w:highlight w:val="none"/>
        </w:rPr>
        <w:t>。</w:t>
      </w:r>
    </w:p>
    <w:p w14:paraId="527B984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12.4.3 进度付款申请单的提交</w:t>
      </w:r>
    </w:p>
    <w:p w14:paraId="46A6F04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（1）单价合同进度付款申请单提交的约定：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429244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（2）总价合同进度付款申请单提交的约定：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D8D332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（3）其他价格形式合同进度付款申请单提交的约定：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6C906ED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12.4.4 进度款审核和支付</w:t>
      </w:r>
    </w:p>
    <w:p w14:paraId="23A127F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（1）监理人审查并报送发包人的期限：</w:t>
      </w:r>
      <w:r>
        <w:rPr>
          <w:rFonts w:hint="eastAsia" w:ascii="仿宋" w:hAnsi="仿宋" w:eastAsia="仿宋" w:cs="仿宋"/>
          <w:color w:val="auto"/>
          <w:kern w:val="1"/>
          <w:sz w:val="24"/>
          <w:highlight w:val="none"/>
          <w:u w:val="single"/>
        </w:rPr>
        <w:t xml:space="preserve">    收到申请7天内         </w:t>
      </w:r>
      <w:r>
        <w:rPr>
          <w:rFonts w:hint="eastAsia" w:ascii="仿宋" w:hAnsi="仿宋" w:eastAsia="仿宋" w:cs="仿宋"/>
          <w:color w:val="auto"/>
          <w:kern w:val="1"/>
          <w:sz w:val="24"/>
          <w:highlight w:val="none"/>
        </w:rPr>
        <w:t>。</w:t>
      </w:r>
    </w:p>
    <w:p w14:paraId="35D1313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发包人完成审批并签发进度款支付证书的期限：</w:t>
      </w:r>
      <w:r>
        <w:rPr>
          <w:rFonts w:hint="eastAsia" w:ascii="仿宋" w:hAnsi="仿宋" w:eastAsia="仿宋" w:cs="仿宋"/>
          <w:color w:val="auto"/>
          <w:kern w:val="1"/>
          <w:sz w:val="24"/>
          <w:highlight w:val="none"/>
          <w:u w:val="single"/>
        </w:rPr>
        <w:t xml:space="preserve">    执行通用条款       </w:t>
      </w:r>
      <w:r>
        <w:rPr>
          <w:rFonts w:hint="eastAsia" w:ascii="仿宋" w:hAnsi="仿宋" w:eastAsia="仿宋" w:cs="仿宋"/>
          <w:color w:val="auto"/>
          <w:kern w:val="1"/>
          <w:sz w:val="24"/>
          <w:highlight w:val="none"/>
        </w:rPr>
        <w:t>。</w:t>
      </w:r>
    </w:p>
    <w:p w14:paraId="4D69764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（2）发包人支付进度款的期限：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color="000000"/>
        </w:rPr>
        <w:t>收到申请 15 天内</w:t>
      </w:r>
      <w:r>
        <w:rPr>
          <w:rFonts w:hint="eastAsia" w:ascii="仿宋" w:hAnsi="仿宋" w:eastAsia="仿宋" w:cs="仿宋"/>
          <w:color w:val="auto"/>
          <w:kern w:val="1"/>
          <w:sz w:val="24"/>
          <w:highlight w:val="none"/>
        </w:rPr>
        <w:t>。</w:t>
      </w:r>
    </w:p>
    <w:p w14:paraId="218D62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发包人逾期支付进度款的违约金的计算方式：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3CBC0D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1"/>
          <w:sz w:val="24"/>
          <w:highlight w:val="none"/>
        </w:rPr>
        <w:t>3）发包人在承包人开具相应金额的工程类</w:t>
      </w:r>
      <w:r>
        <w:rPr>
          <w:rFonts w:hint="eastAsia" w:ascii="仿宋" w:hAnsi="仿宋" w:eastAsia="仿宋" w:cs="仿宋"/>
          <w:color w:val="auto"/>
          <w:kern w:val="1"/>
          <w:sz w:val="24"/>
          <w:highlight w:val="none"/>
          <w:u w:val="single"/>
          <w:lang w:val="en-US" w:eastAsia="zh-CN"/>
        </w:rPr>
        <w:t xml:space="preserve"> 9% </w:t>
      </w:r>
      <w:r>
        <w:rPr>
          <w:rFonts w:hint="eastAsia" w:ascii="仿宋" w:hAnsi="仿宋" w:eastAsia="仿宋" w:cs="仿宋"/>
          <w:color w:val="auto"/>
          <w:kern w:val="1"/>
          <w:sz w:val="24"/>
          <w:highlight w:val="none"/>
        </w:rPr>
        <w:t>增值税专用发票后方可支付相应的工程款，如承包方拒不开具相应的工程类</w:t>
      </w:r>
      <w:r>
        <w:rPr>
          <w:rFonts w:hint="eastAsia" w:ascii="仿宋" w:hAnsi="仿宋" w:eastAsia="仿宋" w:cs="仿宋"/>
          <w:color w:val="auto"/>
          <w:kern w:val="1"/>
          <w:sz w:val="24"/>
          <w:highlight w:val="none"/>
          <w:u w:val="single"/>
          <w:lang w:val="en-US" w:eastAsia="zh-CN"/>
        </w:rPr>
        <w:t xml:space="preserve"> 9% </w:t>
      </w:r>
      <w:r>
        <w:rPr>
          <w:rFonts w:hint="eastAsia" w:ascii="仿宋" w:hAnsi="仿宋" w:eastAsia="仿宋" w:cs="仿宋"/>
          <w:color w:val="auto"/>
          <w:kern w:val="1"/>
          <w:sz w:val="24"/>
          <w:highlight w:val="none"/>
        </w:rPr>
        <w:t>增值税专用发票，发包人有权暂不支付应付款项。</w:t>
      </w:r>
    </w:p>
    <w:p w14:paraId="616BBE5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12.4.5 支付分解表的编制</w:t>
      </w:r>
    </w:p>
    <w:p w14:paraId="03E5058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（1）总价合同支付分解表的编制与审批：</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A3EF32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（2）单价合同的总价项目支付分解表的编制与审批：</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 xml:space="preserve"> 。</w:t>
      </w:r>
    </w:p>
    <w:p w14:paraId="0E2A7654">
      <w:pPr>
        <w:spacing w:line="360" w:lineRule="exact"/>
        <w:ind w:firstLine="480" w:firstLineChars="200"/>
        <w:rPr>
          <w:rFonts w:ascii="仿宋" w:hAnsi="仿宋" w:eastAsia="仿宋" w:cs="仿宋"/>
          <w:color w:val="auto"/>
          <w:kern w:val="1"/>
          <w:sz w:val="24"/>
          <w:highlight w:val="none"/>
        </w:rPr>
      </w:pPr>
      <w:bookmarkStart w:id="1210" w:name="_Toc296346720"/>
      <w:bookmarkEnd w:id="1210"/>
      <w:bookmarkStart w:id="1211" w:name="_Toc297216223"/>
      <w:bookmarkEnd w:id="1211"/>
      <w:bookmarkStart w:id="1212" w:name="_Toc351203645"/>
      <w:bookmarkEnd w:id="1212"/>
      <w:bookmarkStart w:id="1213" w:name="_Toc297048405"/>
      <w:bookmarkEnd w:id="1213"/>
      <w:bookmarkStart w:id="1214" w:name="_Toc297120519"/>
      <w:bookmarkEnd w:id="1214"/>
      <w:bookmarkStart w:id="1215" w:name="_Toc296891047"/>
      <w:bookmarkEnd w:id="1215"/>
      <w:bookmarkStart w:id="1216" w:name="_Toc296944558"/>
      <w:bookmarkEnd w:id="1216"/>
      <w:bookmarkStart w:id="1217" w:name="_Toc292559424"/>
      <w:bookmarkEnd w:id="1217"/>
      <w:bookmarkStart w:id="1218" w:name="_Toc303539172"/>
      <w:bookmarkEnd w:id="1218"/>
      <w:bookmarkStart w:id="1219" w:name="_Toc304295593"/>
      <w:bookmarkEnd w:id="1219"/>
      <w:bookmarkStart w:id="1220" w:name="_Toc296891259"/>
      <w:bookmarkEnd w:id="1220"/>
      <w:bookmarkStart w:id="1221" w:name="_Toc300935015"/>
      <w:bookmarkEnd w:id="1221"/>
      <w:bookmarkStart w:id="1222" w:name="_Toc297123564"/>
      <w:bookmarkEnd w:id="1222"/>
      <w:bookmarkStart w:id="1223" w:name="_Toc292559929"/>
      <w:bookmarkEnd w:id="1223"/>
      <w:bookmarkStart w:id="1224" w:name="_Toc296347218"/>
      <w:bookmarkEnd w:id="1224"/>
      <w:bookmarkStart w:id="1225" w:name="_Toc296503219"/>
      <w:bookmarkEnd w:id="1225"/>
      <w:bookmarkStart w:id="1226" w:name="_Toc312678053"/>
      <w:bookmarkEnd w:id="1226"/>
      <w:r>
        <w:rPr>
          <w:rFonts w:hint="eastAsia" w:ascii="仿宋" w:hAnsi="仿宋" w:eastAsia="仿宋" w:cs="仿宋"/>
          <w:color w:val="auto"/>
          <w:kern w:val="1"/>
          <w:sz w:val="24"/>
          <w:highlight w:val="none"/>
        </w:rPr>
        <w:t>13. 验收和工程试车</w:t>
      </w:r>
    </w:p>
    <w:p w14:paraId="594DC00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1）验收规范规定的隐蔽工程和中间验收部位在进入下道工序前，必须通知监理工程师、发包人工程师组织隐蔽工程和中间验收。监理工程师和发包人工程师所组织的各类中间验收、任何时间安排的随机抽查，承包人应给予配合，这些验收和抽查的实施并不减轻或变更承包人对承包的工程质量应负的全部责任。</w:t>
      </w:r>
    </w:p>
    <w:p w14:paraId="32B3CD8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（2）为方便维修，如发包人有特殊要求，承包人除在工程隐蔽前提供常规工程隐蔽资料外，还需按照发包人要求绘制隐蔽工程详图并标出各种管线的具体位置和详细尺寸。</w:t>
      </w:r>
    </w:p>
    <w:p w14:paraId="471D01C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3）如承包人不按合同条款施工，或违反正常施工程序、施工工艺进行野蛮施工，或施工质量、安全、环保等达不到有关要求，或施工用材料设备不合规定，发包人有权要求承包人暂停施工，承包人必须立即停工整改，并承担由此引发的一切责任及损失。</w:t>
      </w:r>
    </w:p>
    <w:p w14:paraId="10873931">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u w:val="single"/>
        </w:rPr>
        <w:t>（4）开工前，承包人需在现场放出各建筑物的边线，并配合专业测量单位的复核。根据复核结果校正放线点位，并对校正后点位加强保护。复核后出现放线错误的，一切责任及损失由承包人承担。</w:t>
      </w:r>
    </w:p>
    <w:p w14:paraId="3EB0FE5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13.1 分部分项工程验收</w:t>
      </w:r>
    </w:p>
    <w:p w14:paraId="2D1AE56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13.1.1监理人不能按时进行验收时，应提前</w:t>
      </w:r>
      <w:r>
        <w:rPr>
          <w:rFonts w:hint="eastAsia" w:ascii="仿宋" w:hAnsi="仿宋" w:eastAsia="仿宋" w:cs="仿宋"/>
          <w:color w:val="auto"/>
          <w:kern w:val="1"/>
          <w:sz w:val="24"/>
          <w:highlight w:val="none"/>
          <w:u w:val="single"/>
        </w:rPr>
        <w:t xml:space="preserve">   24  </w:t>
      </w:r>
      <w:r>
        <w:rPr>
          <w:rFonts w:hint="eastAsia" w:ascii="仿宋" w:hAnsi="仿宋" w:eastAsia="仿宋" w:cs="仿宋"/>
          <w:color w:val="auto"/>
          <w:kern w:val="1"/>
          <w:sz w:val="24"/>
          <w:highlight w:val="none"/>
        </w:rPr>
        <w:t>小时提交书面延期要求。</w:t>
      </w:r>
    </w:p>
    <w:p w14:paraId="444FF9DE">
      <w:pPr>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rPr>
        <w:t>关于延期最长不得超过：</w:t>
      </w:r>
      <w:r>
        <w:rPr>
          <w:rFonts w:hint="eastAsia" w:ascii="仿宋" w:hAnsi="仿宋" w:eastAsia="仿宋" w:cs="仿宋"/>
          <w:color w:val="auto"/>
          <w:kern w:val="1"/>
          <w:sz w:val="24"/>
          <w:highlight w:val="none"/>
          <w:u w:val="single"/>
        </w:rPr>
        <w:t xml:space="preserve">   48    </w:t>
      </w:r>
      <w:r>
        <w:rPr>
          <w:rFonts w:hint="eastAsia" w:ascii="仿宋" w:hAnsi="仿宋" w:eastAsia="仿宋" w:cs="仿宋"/>
          <w:color w:val="auto"/>
          <w:kern w:val="1"/>
          <w:sz w:val="24"/>
          <w:highlight w:val="none"/>
        </w:rPr>
        <w:t>小时。</w:t>
      </w:r>
    </w:p>
    <w:p w14:paraId="12943F30">
      <w:pPr>
        <w:spacing w:line="360" w:lineRule="exact"/>
        <w:ind w:firstLine="480" w:firstLineChars="200"/>
        <w:rPr>
          <w:rFonts w:ascii="仿宋" w:hAnsi="仿宋" w:eastAsia="仿宋" w:cs="仿宋"/>
          <w:color w:val="auto"/>
          <w:kern w:val="1"/>
          <w:sz w:val="24"/>
          <w:highlight w:val="none"/>
        </w:rPr>
      </w:pPr>
      <w:bookmarkStart w:id="1227" w:name="_Toc267251470"/>
      <w:bookmarkEnd w:id="1227"/>
      <w:bookmarkStart w:id="1228" w:name="_Toc303539173"/>
      <w:bookmarkEnd w:id="1228"/>
      <w:bookmarkStart w:id="1229" w:name="_Toc267251472"/>
      <w:bookmarkEnd w:id="1229"/>
      <w:bookmarkStart w:id="1230" w:name="_Toc292559933"/>
      <w:bookmarkEnd w:id="1230"/>
      <w:bookmarkStart w:id="1231" w:name="_Toc297216224"/>
      <w:bookmarkEnd w:id="1231"/>
      <w:bookmarkStart w:id="1232" w:name="_Toc296503223"/>
      <w:bookmarkEnd w:id="1232"/>
      <w:bookmarkStart w:id="1233" w:name="_Toc267251474"/>
      <w:bookmarkEnd w:id="1233"/>
      <w:bookmarkStart w:id="1234" w:name="_Toc267251476"/>
      <w:bookmarkEnd w:id="1234"/>
      <w:bookmarkStart w:id="1235" w:name="_Toc296347222"/>
      <w:bookmarkEnd w:id="1235"/>
      <w:bookmarkStart w:id="1236" w:name="_Toc296891263"/>
      <w:bookmarkEnd w:id="1236"/>
      <w:bookmarkStart w:id="1237" w:name="_Toc297123565"/>
      <w:bookmarkEnd w:id="1237"/>
      <w:bookmarkStart w:id="1238" w:name="_Toc312678056"/>
      <w:bookmarkEnd w:id="1238"/>
      <w:bookmarkStart w:id="1239" w:name="_Toc304295596"/>
      <w:bookmarkEnd w:id="1239"/>
      <w:bookmarkStart w:id="1240" w:name="_Toc292559428"/>
      <w:bookmarkEnd w:id="1240"/>
      <w:bookmarkStart w:id="1241" w:name="_Toc297120523"/>
      <w:bookmarkEnd w:id="1241"/>
      <w:bookmarkStart w:id="1242" w:name="_Toc267251473"/>
      <w:bookmarkEnd w:id="1242"/>
      <w:bookmarkStart w:id="1243" w:name="_Toc296346724"/>
      <w:bookmarkEnd w:id="1243"/>
      <w:bookmarkStart w:id="1244" w:name="_Toc300935016"/>
      <w:bookmarkEnd w:id="1244"/>
      <w:bookmarkStart w:id="1245" w:name="_Toc296891051"/>
      <w:bookmarkEnd w:id="1245"/>
      <w:bookmarkStart w:id="1246" w:name="_Toc267251471"/>
      <w:bookmarkEnd w:id="1246"/>
      <w:bookmarkStart w:id="1247" w:name="_Toc296944562"/>
      <w:bookmarkEnd w:id="1247"/>
      <w:bookmarkStart w:id="1248" w:name="_Toc297048409"/>
      <w:bookmarkEnd w:id="1248"/>
      <w:bookmarkStart w:id="1249" w:name="_Toc267251475"/>
      <w:bookmarkEnd w:id="1249"/>
      <w:r>
        <w:rPr>
          <w:rFonts w:hint="eastAsia" w:ascii="仿宋" w:hAnsi="仿宋" w:eastAsia="仿宋" w:cs="仿宋"/>
          <w:color w:val="auto"/>
          <w:kern w:val="1"/>
          <w:sz w:val="24"/>
          <w:highlight w:val="none"/>
        </w:rPr>
        <w:t>13.2 竣工验收</w:t>
      </w:r>
    </w:p>
    <w:p w14:paraId="0C8B2B23">
      <w:pPr>
        <w:spacing w:line="360" w:lineRule="exact"/>
        <w:ind w:firstLine="480" w:firstLineChars="200"/>
        <w:rPr>
          <w:rFonts w:ascii="仿宋" w:hAnsi="仿宋" w:eastAsia="仿宋" w:cs="仿宋"/>
          <w:color w:val="auto"/>
          <w:kern w:val="1"/>
          <w:sz w:val="24"/>
          <w:highlight w:val="none"/>
        </w:rPr>
      </w:pPr>
      <w:bookmarkStart w:id="1250" w:name="_Toc280868709"/>
      <w:bookmarkEnd w:id="1250"/>
      <w:bookmarkStart w:id="1251" w:name="_Toc280868706"/>
      <w:bookmarkEnd w:id="1251"/>
      <w:bookmarkStart w:id="1252" w:name="_Toc280868707"/>
      <w:bookmarkEnd w:id="1252"/>
      <w:bookmarkStart w:id="1253" w:name="_Toc280868705"/>
      <w:bookmarkEnd w:id="1253"/>
      <w:bookmarkStart w:id="1254" w:name="_Toc280868704"/>
      <w:bookmarkEnd w:id="1254"/>
      <w:bookmarkStart w:id="1255" w:name="_Toc280868708"/>
      <w:bookmarkEnd w:id="1255"/>
      <w:r>
        <w:rPr>
          <w:rFonts w:hint="eastAsia" w:ascii="仿宋" w:hAnsi="仿宋" w:eastAsia="仿宋" w:cs="仿宋"/>
          <w:color w:val="auto"/>
          <w:kern w:val="1"/>
          <w:sz w:val="24"/>
          <w:highlight w:val="none"/>
        </w:rPr>
        <w:t>13.2.1竣工验收程序</w:t>
      </w:r>
    </w:p>
    <w:p w14:paraId="2AE9065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关于竣工验收程序的约定：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执行国家、工程所在地安徽省淮南市建设行政主管部门相关规定执行。工程竣工前承包人必须提交完整、规范、合格的工程资料，否则不予办理竣工验收及结算，资料不同</w:t>
      </w:r>
      <w:r>
        <w:rPr>
          <w:rFonts w:hint="eastAsia" w:ascii="仿宋" w:hAnsi="仿宋" w:eastAsia="仿宋" w:cs="仿宋"/>
          <w:b/>
          <w:color w:val="auto"/>
          <w:sz w:val="24"/>
          <w:highlight w:val="none"/>
          <w:u w:val="single"/>
        </w:rPr>
        <w:t>步视为工期延误。其他执行通用条款</w:t>
      </w:r>
      <w:r>
        <w:rPr>
          <w:rFonts w:hint="eastAsia" w:ascii="仿宋" w:hAnsi="仿宋" w:eastAsia="仿宋" w:cs="仿宋"/>
          <w:color w:val="auto"/>
          <w:kern w:val="1"/>
          <w:sz w:val="24"/>
          <w:highlight w:val="none"/>
          <w:u w:val="single"/>
        </w:rPr>
        <w:t>。</w:t>
      </w:r>
    </w:p>
    <w:p w14:paraId="190A82E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发包人不按照本项约定组织竣工验收、颁发工程接收证书的违约金的计算方法：</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706C0D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13.2.2移交、接收全部与部分工程</w:t>
      </w:r>
    </w:p>
    <w:p w14:paraId="3889226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承包人向发包人移交工程的期限：</w:t>
      </w:r>
      <w:r>
        <w:rPr>
          <w:rFonts w:hint="eastAsia" w:ascii="仿宋" w:hAnsi="仿宋" w:eastAsia="仿宋" w:cs="仿宋"/>
          <w:color w:val="auto"/>
          <w:kern w:val="1"/>
          <w:sz w:val="24"/>
          <w:highlight w:val="none"/>
          <w:u w:val="single"/>
        </w:rPr>
        <w:t xml:space="preserve">  合同双方应当在颁发工程接收证书后 14 个日内完成工程的移交。</w:t>
      </w:r>
    </w:p>
    <w:p w14:paraId="7125AB2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发包人未按本合同约定接收全部或部分工程的，违约金的计算方法为：</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177A8FB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承包人未按时移交工程的，违约金的计算方法为：</w:t>
      </w:r>
      <w:r>
        <w:rPr>
          <w:rFonts w:hint="eastAsia" w:ascii="仿宋" w:hAnsi="仿宋" w:eastAsia="仿宋" w:cs="仿宋"/>
          <w:color w:val="auto"/>
          <w:kern w:val="1"/>
          <w:sz w:val="24"/>
          <w:highlight w:val="none"/>
          <w:u w:val="single"/>
        </w:rPr>
        <w:t xml:space="preserve"> 承包人无正当理由不移交工程的，承包人应承担工程照管、成品保护、保管等与工程有关的各项费用，并按</w:t>
      </w:r>
      <w:r>
        <w:rPr>
          <w:rFonts w:hint="eastAsia" w:ascii="仿宋" w:hAnsi="仿宋" w:eastAsia="仿宋" w:cs="仿宋"/>
          <w:color w:val="auto"/>
          <w:kern w:val="1"/>
          <w:sz w:val="24"/>
          <w:highlight w:val="none"/>
          <w:u w:val="single"/>
          <w:lang w:val="en-US" w:eastAsia="zh-CN"/>
        </w:rPr>
        <w:t>2000</w:t>
      </w:r>
      <w:r>
        <w:rPr>
          <w:rFonts w:hint="eastAsia" w:ascii="仿宋" w:hAnsi="仿宋" w:eastAsia="仿宋" w:cs="仿宋"/>
          <w:color w:val="auto"/>
          <w:kern w:val="1"/>
          <w:sz w:val="24"/>
          <w:highlight w:val="none"/>
          <w:u w:val="single"/>
        </w:rPr>
        <w:t>元/天承担违约责任。</w:t>
      </w:r>
    </w:p>
    <w:p w14:paraId="7BD3E4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 工程试车</w:t>
      </w:r>
    </w:p>
    <w:p w14:paraId="20587F0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13.3.1 试车程序</w:t>
      </w:r>
    </w:p>
    <w:p w14:paraId="7B8868A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工程试车内容：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承包人应负责承包范围内的设备、电路、管线等系统的试运行，以及配合其他专业分包人的系统联合调试。试运行方案、配合联调方案执行国家相关标准、规范，相关费用由承包人承担</w:t>
      </w:r>
      <w:r>
        <w:rPr>
          <w:rFonts w:hint="eastAsia" w:ascii="仿宋" w:hAnsi="仿宋" w:eastAsia="仿宋" w:cs="仿宋"/>
          <w:b/>
          <w:color w:val="auto"/>
          <w:sz w:val="24"/>
          <w:highlight w:val="none"/>
        </w:rPr>
        <w:t>。</w:t>
      </w:r>
    </w:p>
    <w:p w14:paraId="74673B6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（1）单机无负荷试车费用由</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承担；</w:t>
      </w:r>
    </w:p>
    <w:p w14:paraId="79FF29E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（2）无负荷联动试车费用由</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承担。</w:t>
      </w:r>
    </w:p>
    <w:p w14:paraId="5F015BD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13.3.2 投料试车</w:t>
      </w:r>
    </w:p>
    <w:p w14:paraId="583AB90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关于投料试车相关事项的约定：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1A1C33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13.4 竣工退场</w:t>
      </w:r>
    </w:p>
    <w:p w14:paraId="149D91A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13.4.1 竣工退场</w:t>
      </w:r>
    </w:p>
    <w:p w14:paraId="102B2FD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承包人完成竣工退场的期限：</w:t>
      </w:r>
      <w:r>
        <w:rPr>
          <w:rFonts w:hint="eastAsia" w:ascii="仿宋" w:hAnsi="仿宋" w:eastAsia="仿宋" w:cs="仿宋"/>
          <w:b/>
          <w:color w:val="auto"/>
          <w:sz w:val="24"/>
          <w:highlight w:val="none"/>
          <w:u w:val="single"/>
        </w:rPr>
        <w:t>承包人应在工程完工验收后7日内完成竣工退场，每逾期一天退场的，向发包人承担违约金人民币</w:t>
      </w:r>
      <w:r>
        <w:rPr>
          <w:rFonts w:hint="eastAsia" w:ascii="仿宋" w:hAnsi="仿宋" w:eastAsia="仿宋" w:cs="仿宋"/>
          <w:b/>
          <w:color w:val="auto"/>
          <w:sz w:val="24"/>
          <w:highlight w:val="none"/>
          <w:u w:val="single"/>
          <w:lang w:val="en-US" w:eastAsia="zh-CN"/>
        </w:rPr>
        <w:t>贰仟（2000.00）</w:t>
      </w:r>
      <w:r>
        <w:rPr>
          <w:rFonts w:hint="eastAsia" w:ascii="仿宋" w:hAnsi="仿宋" w:eastAsia="仿宋" w:cs="仿宋"/>
          <w:b/>
          <w:color w:val="auto"/>
          <w:sz w:val="24"/>
          <w:highlight w:val="none"/>
          <w:u w:val="single"/>
        </w:rPr>
        <w:t>元。</w:t>
      </w:r>
      <w:r>
        <w:rPr>
          <w:rFonts w:hint="eastAsia" w:ascii="仿宋" w:hAnsi="仿宋" w:eastAsia="仿宋" w:cs="仿宋"/>
          <w:b/>
          <w:color w:val="auto"/>
          <w:sz w:val="24"/>
          <w:highlight w:val="none"/>
          <w:u w:val="single" w:color="000000"/>
        </w:rPr>
        <w:t>发包人有权另行处理承包人的遗留物，由此支出的费用由承包人承担，发包人出售承包人遗留物所得</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款项在扣除必要支出费用后的结余部分全部返还承包人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A30A821">
      <w:pPr>
        <w:spacing w:line="360" w:lineRule="exact"/>
        <w:ind w:firstLine="480" w:firstLineChars="200"/>
        <w:rPr>
          <w:rFonts w:ascii="仿宋" w:hAnsi="仿宋" w:eastAsia="仿宋" w:cs="仿宋"/>
          <w:color w:val="auto"/>
          <w:kern w:val="1"/>
          <w:sz w:val="24"/>
          <w:highlight w:val="none"/>
        </w:rPr>
      </w:pPr>
      <w:bookmarkStart w:id="1256" w:name="_Toc351203646"/>
      <w:bookmarkEnd w:id="1256"/>
      <w:r>
        <w:rPr>
          <w:rFonts w:hint="eastAsia" w:ascii="仿宋" w:hAnsi="仿宋" w:eastAsia="仿宋" w:cs="仿宋"/>
          <w:color w:val="auto"/>
          <w:kern w:val="1"/>
          <w:sz w:val="24"/>
          <w:highlight w:val="none"/>
        </w:rPr>
        <w:t>14. 竣工结算</w:t>
      </w:r>
    </w:p>
    <w:p w14:paraId="370FC2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14.1 竣工结算申请</w:t>
      </w:r>
    </w:p>
    <w:p w14:paraId="457A8F7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本工程分路段提交竣工结算申请。</w:t>
      </w:r>
    </w:p>
    <w:p w14:paraId="447ADA6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承包人提交竣工结算申请单的期限：</w:t>
      </w:r>
      <w:r>
        <w:rPr>
          <w:rFonts w:hint="eastAsia" w:ascii="仿宋" w:hAnsi="仿宋" w:eastAsia="仿宋" w:cs="仿宋"/>
          <w:b/>
          <w:bCs/>
          <w:color w:val="auto"/>
          <w:kern w:val="1"/>
          <w:sz w:val="24"/>
          <w:highlight w:val="none"/>
          <w:u w:val="single"/>
        </w:rPr>
        <w:t>在工程竣工验收合格后六十天内提交施工图加设计变更进行结算的竣工结算申请单及完整的结算资料十份。经发包人、监理人发函十五天内仍未提供或明确答复，发包人、监理人有权根据已有资料进行审查，出具的结算书有效，承包人不得有异议。</w:t>
      </w:r>
      <w:r>
        <w:rPr>
          <w:rFonts w:hint="eastAsia" w:ascii="仿宋" w:hAnsi="仿宋" w:eastAsia="仿宋" w:cs="仿宋"/>
          <w:color w:val="auto"/>
          <w:kern w:val="1"/>
          <w:sz w:val="24"/>
          <w:highlight w:val="none"/>
          <w:u w:val="single"/>
        </w:rPr>
        <w:t xml:space="preserve">   </w:t>
      </w:r>
    </w:p>
    <w:p w14:paraId="22366A5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竣工结算申请单应包括的内容：</w:t>
      </w:r>
      <w:r>
        <w:rPr>
          <w:rFonts w:hint="eastAsia" w:ascii="仿宋" w:hAnsi="仿宋" w:eastAsia="仿宋" w:cs="仿宋"/>
          <w:b/>
          <w:color w:val="auto"/>
          <w:sz w:val="24"/>
          <w:highlight w:val="none"/>
          <w:u w:val="single"/>
        </w:rPr>
        <w:t>（1）竣工结算合同价格；（2）发包人已支付承包人的款项；（3）应扣留的质量保证金；（4）承包人应支付发包人的违约金、赔偿金以及代付应扣款项金额；（5）发包人应支付承包人的合同价款。</w:t>
      </w:r>
      <w:r>
        <w:rPr>
          <w:rFonts w:hint="eastAsia" w:ascii="仿宋" w:hAnsi="仿宋" w:eastAsia="仿宋" w:cs="仿宋"/>
          <w:color w:val="auto"/>
          <w:kern w:val="1"/>
          <w:sz w:val="24"/>
          <w:highlight w:val="none"/>
          <w:u w:val="single"/>
        </w:rPr>
        <w:t xml:space="preserve"> </w:t>
      </w:r>
    </w:p>
    <w:p w14:paraId="3CC16ED3">
      <w:pPr>
        <w:spacing w:line="360" w:lineRule="exact"/>
        <w:ind w:firstLine="482" w:firstLineChars="200"/>
        <w:rPr>
          <w:rFonts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关于承包人提交结算资料的约定：</w:t>
      </w:r>
    </w:p>
    <w:p w14:paraId="3391BAA2">
      <w:pPr>
        <w:numPr>
          <w:ilvl w:val="0"/>
          <w:numId w:val="6"/>
        </w:num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承包人提交的结算资料至少应包含以下内容（书面版及电子版同时提供）：</w:t>
      </w:r>
    </w:p>
    <w:p w14:paraId="4A2050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①施工合同文件，补充协议书；</w:t>
      </w:r>
    </w:p>
    <w:p w14:paraId="26C5E5C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②磋商文件、答疑（更正）文件、响应文件（含已标价工程量清单）；</w:t>
      </w:r>
    </w:p>
    <w:p w14:paraId="1223EB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③施工图、竣工图纸；</w:t>
      </w:r>
    </w:p>
    <w:p w14:paraId="39977C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④材料设备价格确认单，材料设备到货验收单，材差调整审定文件；</w:t>
      </w:r>
    </w:p>
    <w:p w14:paraId="4FC9366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⑤设计变更单、现场签证及相应的预算书；</w:t>
      </w:r>
    </w:p>
    <w:p w14:paraId="140CD93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⑥工程竣工验收资料；</w:t>
      </w:r>
    </w:p>
    <w:p w14:paraId="3BC8348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⑦工程结算申请书；</w:t>
      </w:r>
    </w:p>
    <w:p w14:paraId="0C01E97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⑧工期、质量、安全文明的奖励或处罚，及违约金索赔单；</w:t>
      </w:r>
    </w:p>
    <w:p w14:paraId="7C24813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⑨其他与工程结算相关的双方确认的协议书等有效证明文件。</w:t>
      </w:r>
    </w:p>
    <w:p w14:paraId="13C6484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（2）【设计变更单、现场签证】等结算资料应为原件，而且不能另补，因发包人原因造成没有存档的资料除外。</w:t>
      </w:r>
    </w:p>
    <w:p w14:paraId="280C14E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（3）竣工图必须正确反映现场情况，并按有关规定正确绘制。若发现竣工图失实或弄虚作假，发现一（1）处承包人应支付违约金</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color w:val="auto"/>
          <w:kern w:val="1"/>
          <w:sz w:val="24"/>
          <w:highlight w:val="none"/>
        </w:rPr>
        <w:t>元，发现两（2）处支付违约金</w:t>
      </w:r>
      <w:r>
        <w:rPr>
          <w:rFonts w:hint="eastAsia" w:ascii="仿宋" w:hAnsi="仿宋" w:eastAsia="仿宋" w:cs="仿宋"/>
          <w:b/>
          <w:color w:val="auto"/>
          <w:sz w:val="24"/>
          <w:highlight w:val="none"/>
          <w:u w:val="single"/>
          <w:lang w:val="en-US" w:eastAsia="zh-CN"/>
        </w:rPr>
        <w:t>1000</w:t>
      </w:r>
      <w:r>
        <w:rPr>
          <w:rFonts w:hint="eastAsia" w:ascii="仿宋" w:hAnsi="仿宋" w:eastAsia="仿宋" w:cs="仿宋"/>
          <w:color w:val="auto"/>
          <w:kern w:val="1"/>
          <w:sz w:val="24"/>
          <w:highlight w:val="none"/>
        </w:rPr>
        <w:t>元，发现三（3）处支付违约金</w:t>
      </w:r>
      <w:r>
        <w:rPr>
          <w:rFonts w:hint="eastAsia" w:ascii="仿宋" w:hAnsi="仿宋" w:eastAsia="仿宋" w:cs="仿宋"/>
          <w:b/>
          <w:color w:val="auto"/>
          <w:sz w:val="24"/>
          <w:highlight w:val="none"/>
          <w:u w:val="single"/>
          <w:lang w:val="en-US" w:eastAsia="zh-CN"/>
        </w:rPr>
        <w:t>6000</w:t>
      </w:r>
      <w:r>
        <w:rPr>
          <w:rFonts w:hint="eastAsia" w:ascii="仿宋" w:hAnsi="仿宋" w:eastAsia="仿宋" w:cs="仿宋"/>
          <w:color w:val="auto"/>
          <w:kern w:val="1"/>
          <w:sz w:val="24"/>
          <w:highlight w:val="none"/>
        </w:rPr>
        <w:t>元，发现四（4）处支付违约金</w:t>
      </w:r>
      <w:r>
        <w:rPr>
          <w:rFonts w:hint="eastAsia" w:ascii="仿宋" w:hAnsi="仿宋" w:eastAsia="仿宋" w:cs="仿宋"/>
          <w:b/>
          <w:color w:val="auto"/>
          <w:sz w:val="24"/>
          <w:highlight w:val="none"/>
          <w:u w:val="single"/>
          <w:lang w:val="en-US" w:eastAsia="zh-CN"/>
        </w:rPr>
        <w:t>30000</w:t>
      </w:r>
      <w:r>
        <w:rPr>
          <w:rFonts w:hint="eastAsia" w:ascii="仿宋" w:hAnsi="仿宋" w:eastAsia="仿宋" w:cs="仿宋"/>
          <w:color w:val="auto"/>
          <w:kern w:val="1"/>
          <w:sz w:val="24"/>
          <w:highlight w:val="none"/>
        </w:rPr>
        <w:t>元，依此类推。发现十（10）处以上，除支付违约金外，承包人须重新绘制竣工图。</w:t>
      </w:r>
    </w:p>
    <w:p w14:paraId="1E09A7F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14.2 竣工结算审核</w:t>
      </w:r>
    </w:p>
    <w:p w14:paraId="620231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应在收到竣工结算申请单后三十天内完成核查并报送发包人。发包人应在收到监理人提交的经审核的竣工结算申请单后一百八十天内完成审核，并提出意见。监理人或发包人对竣工结算申请单有异议的，有权要求承包人进行修正和提供补充资料，承包人应提交修正后的竣工结算申请单。</w:t>
      </w:r>
    </w:p>
    <w:p w14:paraId="31DC10C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结算相关的其他约定：</w:t>
      </w:r>
    </w:p>
    <w:p w14:paraId="00B401D4">
      <w:pPr>
        <w:numPr>
          <w:ilvl w:val="0"/>
          <w:numId w:val="7"/>
        </w:numPr>
        <w:spacing w:line="360" w:lineRule="exact"/>
        <w:ind w:left="0"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算总价的确定：结算总价=合同价+设计变更+</w:t>
      </w:r>
      <w:r>
        <w:rPr>
          <w:rFonts w:hint="eastAsia" w:ascii="仿宋" w:hAnsi="仿宋" w:eastAsia="仿宋" w:cs="仿宋"/>
          <w:b/>
          <w:color w:val="auto"/>
          <w:kern w:val="1"/>
          <w:sz w:val="24"/>
          <w:highlight w:val="none"/>
        </w:rPr>
        <w:t>有效现场签证+补充协议-减少项目+奖励-违约金（罚金）</w:t>
      </w:r>
      <w:r>
        <w:rPr>
          <w:rFonts w:hint="eastAsia" w:ascii="仿宋" w:hAnsi="仿宋" w:eastAsia="仿宋" w:cs="仿宋"/>
          <w:color w:val="auto"/>
          <w:kern w:val="1"/>
          <w:sz w:val="24"/>
          <w:highlight w:val="none"/>
        </w:rPr>
        <w:t>，要求分项计算并编制分项汇总表。</w:t>
      </w:r>
    </w:p>
    <w:p w14:paraId="0A8D55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在竣工结算审核或审计期间，承包人有义务及时配合发包人、监理人的审查、审计工作，提供发包人、监理人需要的资料和进行相关的解释说明，在发包人、监理人发函十天内，承包人仍无正当理由不配合及不签字认可结算结果的，发包人、监理人有权自行审查，出具的结算书有效，承包人不得有异议。</w:t>
      </w:r>
    </w:p>
    <w:p w14:paraId="6E6CD7A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③承包人须无条件配合发包人进行项目工程的结算审核工作。</w:t>
      </w:r>
    </w:p>
    <w:p w14:paraId="30191223">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发包人完成竣工付款的期限：</w:t>
      </w:r>
      <w:r>
        <w:rPr>
          <w:rFonts w:hint="eastAsia" w:ascii="仿宋" w:hAnsi="仿宋" w:eastAsia="仿宋" w:cs="仿宋"/>
          <w:b/>
          <w:bCs/>
          <w:color w:val="auto"/>
          <w:kern w:val="1"/>
          <w:sz w:val="24"/>
          <w:highlight w:val="none"/>
          <w:u w:val="single"/>
        </w:rPr>
        <w:t>承包人递交完整的竣工结算申请后30日内。</w:t>
      </w:r>
    </w:p>
    <w:p w14:paraId="02DDE26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④承包人须无条件配合发包人进行项目工程的结算审计工作。</w:t>
      </w:r>
    </w:p>
    <w:p w14:paraId="579D25C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发包人完成竣工付款的期限：按专用条款“12.4 工程进度款支付”执行。</w:t>
      </w:r>
    </w:p>
    <w:p w14:paraId="637A288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关于竣工付款证书异议部分复核的方式和程序：</w:t>
      </w:r>
    </w:p>
    <w:p w14:paraId="5A1340F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14.3 竣工结算限额：</w:t>
      </w:r>
    </w:p>
    <w:p w14:paraId="47149AE2">
      <w:pPr>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sz w:val="24"/>
          <w:highlight w:val="none"/>
        </w:rPr>
        <w:t>工程结算计价依据：同磋商文件投标报价计价依据</w:t>
      </w:r>
    </w:p>
    <w:p w14:paraId="49FF36D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 最终结清</w:t>
      </w:r>
    </w:p>
    <w:p w14:paraId="24DF668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14.4.1 最终结清申请单</w:t>
      </w:r>
    </w:p>
    <w:p w14:paraId="7246DC9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承包人提交最终结清申请单的份数：</w:t>
      </w:r>
      <w:r>
        <w:rPr>
          <w:rFonts w:hint="eastAsia" w:ascii="仿宋" w:hAnsi="仿宋" w:eastAsia="仿宋" w:cs="仿宋"/>
          <w:color w:val="auto"/>
          <w:kern w:val="1"/>
          <w:sz w:val="24"/>
          <w:highlight w:val="none"/>
          <w:u w:val="single"/>
        </w:rPr>
        <w:t xml:space="preserve">   8份   </w:t>
      </w:r>
      <w:r>
        <w:rPr>
          <w:rFonts w:hint="eastAsia" w:ascii="仿宋" w:hAnsi="仿宋" w:eastAsia="仿宋" w:cs="仿宋"/>
          <w:color w:val="auto"/>
          <w:kern w:val="1"/>
          <w:sz w:val="24"/>
          <w:highlight w:val="none"/>
        </w:rPr>
        <w:t>。</w:t>
      </w:r>
    </w:p>
    <w:p w14:paraId="03F8F9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承包人提交最终结算申请单的期限：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 xml:space="preserve">工程保修期终止后14天内 </w:t>
      </w:r>
      <w:r>
        <w:rPr>
          <w:rFonts w:hint="eastAsia" w:ascii="仿宋" w:hAnsi="仿宋" w:eastAsia="仿宋" w:cs="仿宋"/>
          <w:color w:val="auto"/>
          <w:kern w:val="1"/>
          <w:sz w:val="24"/>
          <w:highlight w:val="none"/>
          <w:u w:val="single"/>
        </w:rPr>
        <w:t xml:space="preserve">  。 </w:t>
      </w:r>
    </w:p>
    <w:p w14:paraId="65112FC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14.4.2 最终结清证书和支付</w:t>
      </w:r>
    </w:p>
    <w:p w14:paraId="1637C64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（1）发包人完成最终结清申请单的审批并颁发最终结清证书的期限：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收到承包人提交的最终结清申请单后28天内</w:t>
      </w:r>
      <w:r>
        <w:rPr>
          <w:rFonts w:hint="eastAsia" w:ascii="仿宋" w:hAnsi="仿宋" w:eastAsia="仿宋" w:cs="仿宋"/>
          <w:color w:val="auto"/>
          <w:kern w:val="1"/>
          <w:sz w:val="24"/>
          <w:highlight w:val="none"/>
        </w:rPr>
        <w:t>。</w:t>
      </w:r>
    </w:p>
    <w:p w14:paraId="229E17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（2）发包人完成支付的期限：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颁发最终结清证书后30天内完成支付</w:t>
      </w:r>
      <w:r>
        <w:rPr>
          <w:rFonts w:hint="eastAsia" w:ascii="仿宋" w:hAnsi="仿宋" w:eastAsia="仿宋" w:cs="仿宋"/>
          <w:b/>
          <w:color w:val="auto"/>
          <w:sz w:val="24"/>
          <w:highlight w:val="none"/>
        </w:rPr>
        <w:t xml:space="preserve">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E8F9AEA">
      <w:pPr>
        <w:spacing w:line="360" w:lineRule="exact"/>
        <w:ind w:firstLine="480" w:firstLineChars="200"/>
        <w:rPr>
          <w:rFonts w:ascii="仿宋" w:hAnsi="仿宋" w:eastAsia="仿宋" w:cs="仿宋"/>
          <w:color w:val="auto"/>
          <w:kern w:val="1"/>
          <w:sz w:val="24"/>
          <w:highlight w:val="none"/>
        </w:rPr>
      </w:pPr>
      <w:bookmarkStart w:id="1257" w:name="_Toc267251503"/>
      <w:bookmarkEnd w:id="1257"/>
      <w:bookmarkStart w:id="1258" w:name="_Toc267251499"/>
      <w:bookmarkEnd w:id="1258"/>
      <w:bookmarkStart w:id="1259" w:name="_Toc267251504"/>
      <w:bookmarkEnd w:id="1259"/>
      <w:bookmarkStart w:id="1260" w:name="_Toc267251484"/>
      <w:bookmarkEnd w:id="1260"/>
      <w:bookmarkStart w:id="1261" w:name="_Toc267251494"/>
      <w:bookmarkEnd w:id="1261"/>
      <w:bookmarkStart w:id="1262" w:name="_Toc267251506"/>
      <w:bookmarkEnd w:id="1262"/>
      <w:bookmarkStart w:id="1263" w:name="_Toc267251510"/>
      <w:bookmarkEnd w:id="1263"/>
      <w:bookmarkStart w:id="1264" w:name="_Toc267251498"/>
      <w:bookmarkEnd w:id="1264"/>
      <w:bookmarkStart w:id="1265" w:name="_Toc267251488"/>
      <w:bookmarkEnd w:id="1265"/>
      <w:bookmarkStart w:id="1266" w:name="_Toc267251501"/>
      <w:bookmarkEnd w:id="1266"/>
      <w:bookmarkStart w:id="1267" w:name="_Toc267251490"/>
      <w:bookmarkEnd w:id="1267"/>
      <w:bookmarkStart w:id="1268" w:name="_Toc267251495"/>
      <w:bookmarkEnd w:id="1268"/>
      <w:bookmarkStart w:id="1269" w:name="_Toc267251514"/>
      <w:bookmarkEnd w:id="1269"/>
      <w:bookmarkStart w:id="1270" w:name="_Toc267251486"/>
      <w:bookmarkEnd w:id="1270"/>
      <w:bookmarkStart w:id="1271" w:name="_Toc267251482"/>
      <w:bookmarkEnd w:id="1271"/>
      <w:bookmarkStart w:id="1272" w:name="_Toc267251513"/>
      <w:bookmarkEnd w:id="1272"/>
      <w:bookmarkStart w:id="1273" w:name="_Toc267251511"/>
      <w:bookmarkEnd w:id="1273"/>
      <w:bookmarkStart w:id="1274" w:name="_Toc267251508"/>
      <w:bookmarkEnd w:id="1274"/>
      <w:bookmarkStart w:id="1275" w:name="_Toc267251492"/>
      <w:bookmarkEnd w:id="1275"/>
      <w:bookmarkStart w:id="1276" w:name="_Toc267251502"/>
      <w:bookmarkEnd w:id="1276"/>
      <w:bookmarkStart w:id="1277" w:name="_Toc267251496"/>
      <w:bookmarkEnd w:id="1277"/>
      <w:bookmarkStart w:id="1278" w:name="_Toc267251489"/>
      <w:bookmarkEnd w:id="1278"/>
      <w:bookmarkStart w:id="1279" w:name="_Toc351203647"/>
      <w:bookmarkEnd w:id="1279"/>
      <w:bookmarkStart w:id="1280" w:name="_Toc267251491"/>
      <w:bookmarkEnd w:id="1280"/>
      <w:bookmarkStart w:id="1281" w:name="_Toc267251485"/>
      <w:bookmarkEnd w:id="1281"/>
      <w:bookmarkStart w:id="1282" w:name="_Toc267251515"/>
      <w:bookmarkEnd w:id="1282"/>
      <w:bookmarkStart w:id="1283" w:name="_Toc267251483"/>
      <w:bookmarkEnd w:id="1283"/>
      <w:bookmarkStart w:id="1284" w:name="_Toc267251507"/>
      <w:bookmarkEnd w:id="1284"/>
      <w:bookmarkStart w:id="1285" w:name="_Toc267251493"/>
      <w:bookmarkEnd w:id="1285"/>
      <w:bookmarkStart w:id="1286" w:name="_Toc267251509"/>
      <w:bookmarkEnd w:id="1286"/>
      <w:bookmarkStart w:id="1287" w:name="_Toc267251497"/>
      <w:bookmarkEnd w:id="1287"/>
      <w:r>
        <w:rPr>
          <w:rFonts w:hint="eastAsia" w:ascii="仿宋" w:hAnsi="仿宋" w:eastAsia="仿宋" w:cs="仿宋"/>
          <w:color w:val="auto"/>
          <w:kern w:val="1"/>
          <w:sz w:val="24"/>
          <w:highlight w:val="none"/>
        </w:rPr>
        <w:t>15. 缺陷责任期与保修</w:t>
      </w:r>
    </w:p>
    <w:p w14:paraId="1681FA1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15.1缺陷责任期</w:t>
      </w:r>
    </w:p>
    <w:p w14:paraId="39221C4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缺陷责任期的具体期限：</w:t>
      </w:r>
      <w:r>
        <w:rPr>
          <w:rFonts w:hint="eastAsia" w:ascii="仿宋" w:hAnsi="仿宋" w:eastAsia="仿宋" w:cs="仿宋"/>
          <w:color w:val="auto"/>
          <w:kern w:val="1"/>
          <w:sz w:val="24"/>
          <w:highlight w:val="none"/>
          <w:u w:val="single"/>
        </w:rPr>
        <w:t xml:space="preserve"> 自竣工验收合格之日起</w:t>
      </w:r>
      <w:r>
        <w:rPr>
          <w:rFonts w:hint="eastAsia" w:ascii="仿宋" w:hAnsi="仿宋" w:eastAsia="仿宋" w:cs="仿宋"/>
          <w:color w:val="auto"/>
          <w:kern w:val="1"/>
          <w:sz w:val="24"/>
          <w:highlight w:val="none"/>
          <w:u w:val="single"/>
          <w:lang w:val="en-US" w:eastAsia="zh-CN"/>
        </w:rPr>
        <w:t>24</w:t>
      </w:r>
      <w:r>
        <w:rPr>
          <w:rFonts w:hint="eastAsia" w:ascii="仿宋" w:hAnsi="仿宋" w:eastAsia="仿宋" w:cs="仿宋"/>
          <w:color w:val="auto"/>
          <w:kern w:val="1"/>
          <w:sz w:val="24"/>
          <w:highlight w:val="none"/>
          <w:u w:val="single"/>
        </w:rPr>
        <w:t>个月 。</w:t>
      </w:r>
    </w:p>
    <w:p w14:paraId="4F1AD02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15.2 质量保证金</w:t>
      </w:r>
    </w:p>
    <w:p w14:paraId="3AE5B2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关于是否扣留质量保证金的约定：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扣留质量保证金</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1C56BA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15.2.1 承包人提供质量保证金的方式</w:t>
      </w:r>
    </w:p>
    <w:p w14:paraId="26AC882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质量保证金采用以下</w:t>
      </w:r>
      <w:r>
        <w:rPr>
          <w:rFonts w:hint="eastAsia" w:ascii="仿宋" w:hAnsi="仿宋" w:eastAsia="仿宋" w:cs="仿宋"/>
          <w:color w:val="auto"/>
          <w:kern w:val="1"/>
          <w:sz w:val="24"/>
          <w:highlight w:val="none"/>
          <w:u w:val="single"/>
        </w:rPr>
        <w:t xml:space="preserve"> 1或2 </w:t>
      </w:r>
      <w:r>
        <w:rPr>
          <w:rFonts w:hint="eastAsia" w:ascii="仿宋" w:hAnsi="仿宋" w:eastAsia="仿宋" w:cs="仿宋"/>
          <w:color w:val="auto"/>
          <w:kern w:val="1"/>
          <w:sz w:val="24"/>
          <w:highlight w:val="none"/>
        </w:rPr>
        <w:t>种方式：</w:t>
      </w:r>
    </w:p>
    <w:p w14:paraId="6491354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（1）质量保证金保函，保证金额为：</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lang w:val="en-US" w:eastAsia="zh-CN"/>
        </w:rPr>
        <w:t>3</w:t>
      </w:r>
      <w:r>
        <w:rPr>
          <w:rFonts w:hint="eastAsia" w:ascii="仿宋" w:hAnsi="仿宋" w:eastAsia="仿宋" w:cs="仿宋"/>
          <w:color w:val="auto"/>
          <w:kern w:val="1"/>
          <w:sz w:val="24"/>
          <w:highlight w:val="none"/>
          <w:u w:val="single"/>
        </w:rPr>
        <w:t xml:space="preserve"> %的工程款  </w:t>
      </w:r>
      <w:r>
        <w:rPr>
          <w:rFonts w:hint="eastAsia" w:ascii="仿宋" w:hAnsi="仿宋" w:eastAsia="仿宋" w:cs="仿宋"/>
          <w:color w:val="auto"/>
          <w:kern w:val="1"/>
          <w:sz w:val="24"/>
          <w:highlight w:val="none"/>
        </w:rPr>
        <w:t xml:space="preserve">； </w:t>
      </w:r>
    </w:p>
    <w:p w14:paraId="59D4564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3</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%的工程款；</w:t>
      </w:r>
    </w:p>
    <w:p w14:paraId="3879EB9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15.2.2 质量保证金的扣留 </w:t>
      </w:r>
    </w:p>
    <w:p w14:paraId="459AEA7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质量保证金的扣留采取以下第</w:t>
      </w:r>
      <w:r>
        <w:rPr>
          <w:rFonts w:hint="eastAsia" w:ascii="仿宋" w:hAnsi="仿宋" w:eastAsia="仿宋" w:cs="仿宋"/>
          <w:color w:val="auto"/>
          <w:kern w:val="1"/>
          <w:sz w:val="24"/>
          <w:highlight w:val="none"/>
          <w:u w:val="single"/>
        </w:rPr>
        <w:t xml:space="preserve"> 2或3 </w:t>
      </w:r>
      <w:r>
        <w:rPr>
          <w:rFonts w:hint="eastAsia" w:ascii="仿宋" w:hAnsi="仿宋" w:eastAsia="仿宋" w:cs="仿宋"/>
          <w:color w:val="auto"/>
          <w:kern w:val="1"/>
          <w:sz w:val="24"/>
          <w:highlight w:val="none"/>
        </w:rPr>
        <w:t>种方式：</w:t>
      </w:r>
    </w:p>
    <w:p w14:paraId="1D1CDD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（1）在支付工程进度款时逐次扣留，在此情形下，质量保证金的计算基数不包括预付款的支付、扣回以及价格调整的金额；</w:t>
      </w:r>
    </w:p>
    <w:p w14:paraId="4CBD102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（2）工程竣工结算时一次性扣留质量保证金；</w:t>
      </w:r>
    </w:p>
    <w:p w14:paraId="4C0F11A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（3）其他扣留方式：</w:t>
      </w:r>
      <w:r>
        <w:rPr>
          <w:rFonts w:hint="eastAsia" w:ascii="仿宋" w:hAnsi="仿宋" w:eastAsia="仿宋" w:cs="仿宋"/>
          <w:color w:val="auto"/>
          <w:kern w:val="1"/>
          <w:sz w:val="24"/>
          <w:highlight w:val="none"/>
          <w:u w:val="single"/>
        </w:rPr>
        <w:t xml:space="preserve">采用保函或担保形式递交质量保证金的，不在工程款中重复扣留质量保证金 </w:t>
      </w:r>
      <w:r>
        <w:rPr>
          <w:rFonts w:hint="eastAsia" w:ascii="仿宋" w:hAnsi="仿宋" w:eastAsia="仿宋" w:cs="仿宋"/>
          <w:color w:val="auto"/>
          <w:kern w:val="1"/>
          <w:sz w:val="24"/>
          <w:highlight w:val="none"/>
        </w:rPr>
        <w:t>。</w:t>
      </w:r>
    </w:p>
    <w:p w14:paraId="72487D7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关于质量保证金的补充约定：</w:t>
      </w:r>
      <w:r>
        <w:rPr>
          <w:rFonts w:hint="eastAsia" w:ascii="仿宋" w:hAnsi="仿宋" w:eastAsia="仿宋" w:cs="仿宋"/>
          <w:color w:val="auto"/>
          <w:kern w:val="1"/>
          <w:sz w:val="24"/>
          <w:highlight w:val="none"/>
          <w:u w:val="single"/>
        </w:rPr>
        <w:t>支持承包人以银行转账、银行电汇、网银支付、保函（纸质或电子）、保证保险的方式替代预留工程质保金。在工程交工验收合格并经审计结束后7日内，递交（1）或（2）等额的质量保证金担保，经发包人审核同意后，发包人支付工程款至100%。有工程维修事项的，扣除相应责任维修金，缺陷责任期满并验收合格后，退还相应保函或保险。</w:t>
      </w:r>
    </w:p>
    <w:p w14:paraId="53C32E1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15.3保修</w:t>
      </w:r>
    </w:p>
    <w:p w14:paraId="04B80D7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15.3.1 保修责任</w:t>
      </w:r>
    </w:p>
    <w:p w14:paraId="3C63623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工程保修期为：</w:t>
      </w:r>
    </w:p>
    <w:p w14:paraId="3C9035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⑴地基基础工程和主体结构工程为设计文件规定的工程合理使用年限；</w:t>
      </w:r>
    </w:p>
    <w:p w14:paraId="5D56915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⑵屋面防水工程、有防水要求的卫生间、房间和外墙面的防渗为</w:t>
      </w:r>
      <w:r>
        <w:rPr>
          <w:rFonts w:hint="eastAsia" w:ascii="仿宋" w:hAnsi="仿宋" w:eastAsia="仿宋" w:cs="仿宋"/>
          <w:color w:val="auto"/>
          <w:kern w:val="1"/>
          <w:sz w:val="24"/>
          <w:highlight w:val="none"/>
          <w:u w:val="single"/>
        </w:rPr>
        <w:t xml:space="preserve">   5   </w:t>
      </w:r>
      <w:r>
        <w:rPr>
          <w:rFonts w:hint="eastAsia" w:ascii="仿宋" w:hAnsi="仿宋" w:eastAsia="仿宋" w:cs="仿宋"/>
          <w:color w:val="auto"/>
          <w:kern w:val="1"/>
          <w:sz w:val="24"/>
          <w:highlight w:val="none"/>
        </w:rPr>
        <w:t>年；</w:t>
      </w:r>
    </w:p>
    <w:p w14:paraId="37EE5C1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⑶装修工程为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年；</w:t>
      </w:r>
    </w:p>
    <w:p w14:paraId="05FCE9D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⑷电气管线、给排水管道、设备安装工程为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年；</w:t>
      </w:r>
    </w:p>
    <w:p w14:paraId="19EA97B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⑸供热与供冷系统为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个采暖期、供冷期；</w:t>
      </w:r>
    </w:p>
    <w:p w14:paraId="7A87B16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⑹住宅小区内的给排水设施、道路等配套工程为</w:t>
      </w:r>
      <w:r>
        <w:rPr>
          <w:rFonts w:hint="eastAsia" w:ascii="仿宋" w:hAnsi="仿宋" w:eastAsia="仿宋" w:cs="仿宋"/>
          <w:color w:val="auto"/>
          <w:kern w:val="1"/>
          <w:sz w:val="24"/>
          <w:highlight w:val="none"/>
          <w:u w:val="single"/>
        </w:rPr>
        <w:t xml:space="preserve">    1   </w:t>
      </w:r>
      <w:r>
        <w:rPr>
          <w:rFonts w:hint="eastAsia" w:ascii="仿宋" w:hAnsi="仿宋" w:eastAsia="仿宋" w:cs="仿宋"/>
          <w:color w:val="auto"/>
          <w:kern w:val="1"/>
          <w:sz w:val="24"/>
          <w:highlight w:val="none"/>
        </w:rPr>
        <w:t>年；</w:t>
      </w:r>
    </w:p>
    <w:p w14:paraId="350B2C4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⑺其他项目保修期限约定如下：</w:t>
      </w:r>
      <w:r>
        <w:rPr>
          <w:rFonts w:hint="eastAsia" w:ascii="仿宋" w:hAnsi="仿宋" w:eastAsia="仿宋" w:cs="仿宋"/>
          <w:color w:val="auto"/>
          <w:kern w:val="1"/>
          <w:sz w:val="24"/>
          <w:highlight w:val="none"/>
          <w:u w:val="single"/>
        </w:rPr>
        <w:t xml:space="preserve">     按国家标准          </w:t>
      </w:r>
    </w:p>
    <w:p w14:paraId="0BDC17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质量保修期自工程竣工验收合格之日起计算。</w:t>
      </w:r>
    </w:p>
    <w:p w14:paraId="76702BA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15.3.3 修复通知</w:t>
      </w:r>
    </w:p>
    <w:p w14:paraId="4DA562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承包人收到保修通知并到达工程现场的合理时间：</w:t>
      </w:r>
      <w:r>
        <w:rPr>
          <w:rFonts w:hint="eastAsia" w:ascii="仿宋" w:hAnsi="仿宋" w:eastAsia="仿宋" w:cs="仿宋"/>
          <w:color w:val="auto"/>
          <w:kern w:val="1"/>
          <w:sz w:val="24"/>
          <w:highlight w:val="none"/>
          <w:u w:val="single"/>
        </w:rPr>
        <w:t xml:space="preserve"> 一般情况须在48 小时之内，情况紧急必须立即修复缺陷或损坏的须在 24 小时之内。</w:t>
      </w:r>
    </w:p>
    <w:p w14:paraId="2AAAA2B7">
      <w:pPr>
        <w:spacing w:line="360" w:lineRule="exact"/>
        <w:ind w:firstLine="480" w:firstLineChars="200"/>
        <w:rPr>
          <w:rFonts w:ascii="仿宋" w:hAnsi="仿宋" w:eastAsia="仿宋" w:cs="仿宋"/>
          <w:color w:val="auto"/>
          <w:kern w:val="1"/>
          <w:sz w:val="24"/>
          <w:highlight w:val="none"/>
        </w:rPr>
      </w:pPr>
      <w:bookmarkStart w:id="1288" w:name="_Toc351203648"/>
      <w:bookmarkEnd w:id="1288"/>
      <w:bookmarkStart w:id="1289" w:name="_Toc280868717"/>
      <w:bookmarkEnd w:id="1289"/>
      <w:bookmarkStart w:id="1290" w:name="_Toc280868718"/>
      <w:bookmarkEnd w:id="1290"/>
      <w:r>
        <w:rPr>
          <w:rFonts w:hint="eastAsia" w:ascii="仿宋" w:hAnsi="仿宋" w:eastAsia="仿宋" w:cs="仿宋"/>
          <w:color w:val="auto"/>
          <w:kern w:val="1"/>
          <w:sz w:val="24"/>
          <w:highlight w:val="none"/>
        </w:rPr>
        <w:t>16. 违约</w:t>
      </w:r>
    </w:p>
    <w:p w14:paraId="2F7C9C5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 发包人违约</w:t>
      </w:r>
    </w:p>
    <w:p w14:paraId="5FBD4CF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16.1.1发包人违约的情形</w:t>
      </w:r>
    </w:p>
    <w:p w14:paraId="261C8CE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发包人违约的其他情形：</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CDB5D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16.1.2 发包人违约的责任</w:t>
      </w:r>
    </w:p>
    <w:p w14:paraId="5C992BE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1</w:t>
      </w:r>
      <w:r>
        <w:rPr>
          <w:rFonts w:hint="eastAsia" w:ascii="仿宋" w:hAnsi="仿宋" w:eastAsia="仿宋" w:cs="仿宋"/>
          <w:color w:val="auto"/>
          <w:kern w:val="1"/>
          <w:sz w:val="24"/>
          <w:highlight w:val="none"/>
        </w:rPr>
        <w:t>）因发包人原因未能按合同约定支付合同价款的违约责任：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7D1DA82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2</w:t>
      </w:r>
      <w:r>
        <w:rPr>
          <w:rFonts w:hint="eastAsia" w:ascii="仿宋" w:hAnsi="仿宋" w:eastAsia="仿宋" w:cs="仿宋"/>
          <w:color w:val="auto"/>
          <w:kern w:val="1"/>
          <w:sz w:val="24"/>
          <w:highlight w:val="none"/>
        </w:rPr>
        <w:t>）发包人违反第10.1款〔变更的范围〕第（2）项约定，自行实施被取消的工作或转由他人实施的违约责任：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5EA8541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3</w:t>
      </w:r>
      <w:r>
        <w:rPr>
          <w:rFonts w:hint="eastAsia" w:ascii="仿宋" w:hAnsi="仿宋" w:eastAsia="仿宋" w:cs="仿宋"/>
          <w:color w:val="auto"/>
          <w:kern w:val="1"/>
          <w:sz w:val="24"/>
          <w:highlight w:val="none"/>
        </w:rPr>
        <w:t>）发包人提供的材料、工程设备的规格、数量或质量不符合合同约定，或因发包人原因导致交货日期延误或交货地点变更等情况的违约责任：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12015B3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16.1.3 因发包人违约解除合同</w:t>
      </w:r>
    </w:p>
    <w:p w14:paraId="43D4A6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承包人按16.1.1项〔发包人违约的情形〕约定暂停施工满 120天后发包人仍不纠正其违约行为并致使合同目的不能实现的，承包人有权解除合同。或按合同约定的价款调整方式进行合同价款调整。</w:t>
      </w:r>
    </w:p>
    <w:p w14:paraId="1E4A7059">
      <w:pPr>
        <w:spacing w:line="360" w:lineRule="exact"/>
        <w:ind w:firstLine="480" w:firstLineChars="200"/>
        <w:rPr>
          <w:rFonts w:ascii="仿宋" w:hAnsi="仿宋" w:eastAsia="仿宋" w:cs="仿宋"/>
          <w:color w:val="auto"/>
          <w:kern w:val="1"/>
          <w:sz w:val="24"/>
          <w:highlight w:val="none"/>
        </w:rPr>
      </w:pPr>
      <w:bookmarkStart w:id="1291" w:name="_Toc2374"/>
      <w:r>
        <w:rPr>
          <w:rFonts w:hint="eastAsia" w:ascii="仿宋" w:hAnsi="仿宋" w:eastAsia="仿宋" w:cs="仿宋"/>
          <w:color w:val="auto"/>
          <w:kern w:val="1"/>
          <w:sz w:val="24"/>
          <w:highlight w:val="none"/>
        </w:rPr>
        <w:t>16.2 承包人违约</w:t>
      </w:r>
      <w:bookmarkEnd w:id="1291"/>
    </w:p>
    <w:p w14:paraId="04F2F6E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16.2.1 承包人违约的情形</w:t>
      </w:r>
    </w:p>
    <w:p w14:paraId="78107677">
      <w:pPr>
        <w:autoSpaceDE w:val="0"/>
        <w:autoSpaceDN w:val="0"/>
        <w:spacing w:line="360" w:lineRule="exact"/>
        <w:ind w:firstLine="480" w:firstLineChars="200"/>
        <w:rPr>
          <w:rFonts w:ascii="仿宋" w:hAnsi="仿宋" w:eastAsia="仿宋" w:cs="仿宋"/>
          <w:b/>
          <w:bCs/>
          <w:color w:val="auto"/>
          <w:kern w:val="1"/>
          <w:sz w:val="24"/>
          <w:highlight w:val="none"/>
          <w:u w:val="single"/>
        </w:rPr>
      </w:pPr>
      <w:bookmarkStart w:id="1292" w:name="_Toc351203649"/>
      <w:bookmarkEnd w:id="1292"/>
      <w:r>
        <w:rPr>
          <w:rFonts w:hint="eastAsia" w:ascii="仿宋" w:hAnsi="仿宋" w:eastAsia="仿宋" w:cs="仿宋"/>
          <w:color w:val="auto"/>
          <w:kern w:val="1"/>
          <w:sz w:val="24"/>
          <w:highlight w:val="none"/>
        </w:rPr>
        <w:t>承包人违约的其他情形：</w:t>
      </w:r>
      <w:r>
        <w:rPr>
          <w:rFonts w:hint="eastAsia" w:ascii="仿宋" w:hAnsi="仿宋" w:eastAsia="仿宋" w:cs="仿宋"/>
          <w:b/>
          <w:bCs/>
          <w:color w:val="auto"/>
          <w:kern w:val="1"/>
          <w:sz w:val="24"/>
          <w:highlight w:val="none"/>
          <w:u w:val="single"/>
        </w:rPr>
        <w:t>（1）承包人工程竣工资料不齐全、不规范，并在规定时间内（竣工合格之日起 90 日内）仍未整改完善按时提交移交城建档案馆和建设方档案室的，</w:t>
      </w:r>
      <w:r>
        <w:rPr>
          <w:rFonts w:hint="eastAsia" w:ascii="仿宋" w:hAnsi="仿宋" w:eastAsia="仿宋" w:cs="仿宋"/>
          <w:b/>
          <w:color w:val="auto"/>
          <w:sz w:val="24"/>
          <w:highlight w:val="none"/>
          <w:u w:val="single"/>
        </w:rPr>
        <w:t>向发包人承担违约金人民币伍仟元扣罚承包人违约金</w:t>
      </w:r>
      <w:r>
        <w:rPr>
          <w:rFonts w:hint="eastAsia" w:ascii="仿宋" w:hAnsi="仿宋" w:eastAsia="仿宋" w:cs="仿宋"/>
          <w:b/>
          <w:bCs/>
          <w:color w:val="auto"/>
          <w:kern w:val="1"/>
          <w:sz w:val="24"/>
          <w:highlight w:val="none"/>
          <w:u w:val="single"/>
        </w:rPr>
        <w:t>，并将承担因此而造成的一切后果。</w:t>
      </w:r>
    </w:p>
    <w:p w14:paraId="08EBAC12">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（2）承包人必须在工程竣工验收前，向建管处提供备案资料一套，否则承包人应向发包人承担 2000 元的违约金；</w:t>
      </w:r>
    </w:p>
    <w:p w14:paraId="0FBE9DF3">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承包人出现下列情况之一的，发包人有权单方面解除施工合同，或切割其承包的工程内容，解除合同或切割工程造成的损失由承包人承担，解除合同或切割的工程由发包人委托其他单位施工，承包人必须无条件配合，同时发包人不承担任何违约责任：</w:t>
      </w:r>
    </w:p>
    <w:p w14:paraId="16128F30">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1）承包人不得挂靠，不得转包或非法分包工程。不论何时发现，承包人愿意按照工程总造价的30%向发包人承担违约金，发包人有权解除已签订的建设工程施工合同，</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b/>
          <w:bCs/>
          <w:color w:val="auto"/>
          <w:kern w:val="1"/>
          <w:sz w:val="24"/>
          <w:highlight w:val="none"/>
          <w:u w:val="single"/>
        </w:rPr>
        <w:t>由此造成的一切损失承包人自负，同时履约保证金不再返还，未付工程款不再支付。</w:t>
      </w:r>
    </w:p>
    <w:p w14:paraId="552614F5">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2）未经批准擅自更换项目经理或技术负责人；</w:t>
      </w:r>
    </w:p>
    <w:p w14:paraId="2AF2D2C7">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3）项目经理或技术负责人连续二个月未按合同要求时间有效到岗的；</w:t>
      </w:r>
    </w:p>
    <w:p w14:paraId="7D82EF02">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4）项目管理人员不到位、现场管理不力，造成工地施工管理混乱，文明施工达不到建设工程施工合同及规范要求，且不按要求整改的；</w:t>
      </w:r>
    </w:p>
    <w:p w14:paraId="6F26ED0B">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5）工程具备开工条件后，因承包人原因造成开工时间超过发包人要求开工时间一周的或监理下达开工令后，承包人拒不开工的，发包人有权对承包人进行处罚，并可以单方解除施工合同。</w:t>
      </w:r>
    </w:p>
    <w:p w14:paraId="1EDCF58B">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6）因承包人原因造成工期连续三个月完不成施工计划的；</w:t>
      </w:r>
    </w:p>
    <w:p w14:paraId="7C5923F4">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7）一个单位工程连续出现三次影响使用功能和结构安全，分部（项）工程自检合格但检查评定不合格的；</w:t>
      </w:r>
    </w:p>
    <w:p w14:paraId="54912F79">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8）工程施工中存在重大安全、质量隐患且不按要求及时整改到位的；</w:t>
      </w:r>
    </w:p>
    <w:p w14:paraId="669F60BF">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9）在本合同履行中，如发包人依合同约定行使合同的单方解除权，则其后果为：未付工程款不再支付；履约保证金不予返还；承包人应在接发包人解除通知后 7 日内撤出施工场地，并妥善处理好交接事宜，承包人承担因此给发包人造成的损失。</w:t>
      </w:r>
    </w:p>
    <w:p w14:paraId="7700A708">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10）</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在合同签订后5日内需自行办理施工线路的停电手续，项目完工后向淮南市供电部门办理送电及移交手续，并确保项目验收通过，如因</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原因导致停送电不及时，验收不通过或不能顺利移交的，</w:t>
      </w:r>
      <w:r>
        <w:rPr>
          <w:rFonts w:hint="eastAsia" w:ascii="仿宋" w:hAnsi="仿宋" w:eastAsia="仿宋" w:cs="仿宋"/>
          <w:b/>
          <w:bCs/>
          <w:color w:val="auto"/>
          <w:kern w:val="1"/>
          <w:sz w:val="24"/>
          <w:highlight w:val="none"/>
          <w:u w:val="single"/>
          <w:lang w:eastAsia="zh-CN"/>
        </w:rPr>
        <w:t>发包人</w:t>
      </w:r>
      <w:r>
        <w:rPr>
          <w:rFonts w:hint="eastAsia" w:ascii="仿宋" w:hAnsi="仿宋" w:eastAsia="仿宋" w:cs="仿宋"/>
          <w:b/>
          <w:bCs/>
          <w:color w:val="auto"/>
          <w:kern w:val="1"/>
          <w:sz w:val="24"/>
          <w:highlight w:val="none"/>
          <w:u w:val="single"/>
        </w:rPr>
        <w:t>有权解除合同并要求</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承担由此造成的一切损失；若</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中标后无法履行合同约定，</w:t>
      </w:r>
      <w:r>
        <w:rPr>
          <w:rFonts w:hint="eastAsia" w:ascii="仿宋" w:hAnsi="仿宋" w:eastAsia="仿宋" w:cs="仿宋"/>
          <w:b/>
          <w:bCs/>
          <w:color w:val="auto"/>
          <w:kern w:val="1"/>
          <w:sz w:val="24"/>
          <w:highlight w:val="none"/>
          <w:u w:val="single"/>
          <w:lang w:eastAsia="zh-CN"/>
        </w:rPr>
        <w:t>发包人</w:t>
      </w:r>
      <w:r>
        <w:rPr>
          <w:rFonts w:hint="eastAsia" w:ascii="仿宋" w:hAnsi="仿宋" w:eastAsia="仿宋" w:cs="仿宋"/>
          <w:b/>
          <w:bCs/>
          <w:color w:val="auto"/>
          <w:kern w:val="1"/>
          <w:sz w:val="24"/>
          <w:highlight w:val="none"/>
          <w:u w:val="single"/>
        </w:rPr>
        <w:t>有权报请淮南市建设及行政主管部门对其信用惩戒。</w:t>
      </w:r>
    </w:p>
    <w:p w14:paraId="067AD50F">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4）承包人的响应文件中如有与磋商文件、图纸、答疑（更正）有冲突、重新划分的双方权利义务关系的情形的，对发包人有利的，按照其响应文件执行，不利于发包人的，按照磋商文件、图纸、答疑（更正）执行。</w:t>
      </w:r>
    </w:p>
    <w:p w14:paraId="69063C97">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（5）承包人未通知发包人私自将工程隐蔽部位覆盖的，每发现一次，向发包人支付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w:t>
      </w:r>
    </w:p>
    <w:p w14:paraId="15740C60">
      <w:pPr>
        <w:autoSpaceDE w:val="0"/>
        <w:autoSpaceDN w:val="0"/>
        <w:spacing w:line="360" w:lineRule="exact"/>
        <w:ind w:firstLine="482" w:firstLineChars="200"/>
        <w:rPr>
          <w:rFonts w:ascii="仿宋" w:hAnsi="仿宋" w:eastAsia="仿宋" w:cs="仿宋"/>
          <w:color w:val="auto"/>
          <w:sz w:val="24"/>
          <w:highlight w:val="none"/>
        </w:rPr>
      </w:pPr>
      <w:r>
        <w:rPr>
          <w:rFonts w:hint="eastAsia" w:ascii="仿宋" w:hAnsi="仿宋" w:eastAsia="仿宋" w:cs="仿宋"/>
          <w:b/>
          <w:bCs/>
          <w:color w:val="auto"/>
          <w:kern w:val="1"/>
          <w:sz w:val="24"/>
          <w:highlight w:val="none"/>
          <w:u w:val="single"/>
        </w:rPr>
        <w:t>（6）整个项目各方主体的项目资料需要满足《淮南市城市建设档案管理条例》《建设工程文件归档规范》（GB/T 50328-2014）、《淮南市城建档案馆建设工程档案接收规定》（城档字【2019】16 号）等要求。协助发包人收集并整理项目准备阶段文件、监理文件、施工文件、竣工验收文件、竣工图及声像资料等。跟进项目其他各方主体完善项目归档资料。其费用包含在</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 xml:space="preserve">的投标总价内，如产生专业服务费用由承包人承担并支付。按照相关规定做好工程文件编整、电子档案制作（包括但不限于对工程档案进行排序、组卷、整理、编目、信息著录、扫描、修图、转换、系统上传等工作内容），并将符合规范要求的工程档案移交档案管理机构。以上相关其费用综合考虑在报价中，如产生专业服务费用由承包人承担并支付。全过程按照国家有关要求做好档案的安全及保密工作。竣工验收合格后 3 个月内完成档案移交（包含建设单位档案移交时间），逾期未完成移交按照 </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b/>
          <w:bCs/>
          <w:color w:val="auto"/>
          <w:kern w:val="1"/>
          <w:sz w:val="24"/>
          <w:highlight w:val="none"/>
          <w:u w:val="single"/>
        </w:rPr>
        <w:t>元/天的金额扣罚承包人违约金。</w:t>
      </w:r>
    </w:p>
    <w:p w14:paraId="10B53092">
      <w:pPr>
        <w:spacing w:line="360" w:lineRule="exact"/>
        <w:ind w:firstLine="480" w:firstLineChars="200"/>
        <w:rPr>
          <w:rFonts w:ascii="仿宋" w:hAnsi="仿宋" w:eastAsia="仿宋" w:cs="仿宋"/>
          <w:color w:val="auto"/>
          <w:kern w:val="1"/>
          <w:sz w:val="24"/>
          <w:highlight w:val="none"/>
        </w:rPr>
      </w:pPr>
      <w:bookmarkStart w:id="1293" w:name="_Toc22207"/>
      <w:r>
        <w:rPr>
          <w:rFonts w:hint="eastAsia" w:ascii="仿宋" w:hAnsi="仿宋" w:eastAsia="仿宋" w:cs="仿宋"/>
          <w:color w:val="auto"/>
          <w:kern w:val="1"/>
          <w:sz w:val="24"/>
          <w:highlight w:val="none"/>
        </w:rPr>
        <w:t>16.2.2承包人违约的责任</w:t>
      </w:r>
      <w:bookmarkEnd w:id="1293"/>
    </w:p>
    <w:p w14:paraId="6171E65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承包人违约责任的承担方式和计算方法：    </w:t>
      </w:r>
    </w:p>
    <w:p w14:paraId="15055735">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①承包人违反工程施工质量管理相关要求、安全文明施工管理规定的，按照合同附件表格中的违约金处罚标准进行处罚。承包人违反合同约定采购和使用不合格的材料和工程设备的： 每发现一次，向发包人支付5000元违约金 ；因承包人原因导致工程质量不符合合同要求的： 除限期整改外，还应按照合同附件规定的处罚标准向发包人支付违约金（或由发包人直接从工程款中扣除） ；承包人未经批准，私自将已按照合同约定进入施工现场的材料或设备撤离施工现场的：每发现一次，向发包人支付5000元违约金 ；承包人未能按施工进度计划及时完成合同约定的工作，造成工期延误的：每逾期一天，向发包人支付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 ；如总工期没有逾期的，此前扣除的进度违约金可以返还。</w:t>
      </w:r>
    </w:p>
    <w:p w14:paraId="44445723">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②承包人如违反安全文明施工，以监理工程师通知或建设行政主管部门通知为准，承包人拒不执行整改，每次处</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如发生安全事故应及时向有关部门报告，并承担相应的一切责任，并进行处罚：a、较大安全事故：指一（1）次事故造成重伤（是指有下列情形之一的伤害：使人肢体残废或者毁人容貌的；使人丧失听觉、视觉或者其他器官机能的；其他对人身健康有重大伤害的）一（1）至二（2）人，或施工现场发生火灾，对发包人产生负面影响，承包人应支付违约金1万元；b、重大安全事故：指在项目施工过程中由于责任过失造成人身死亡或重伤三人及以上，或经济损失超过</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bCs/>
          <w:color w:val="auto"/>
          <w:kern w:val="1"/>
          <w:sz w:val="24"/>
          <w:highlight w:val="none"/>
          <w:u w:val="single"/>
        </w:rPr>
        <w:t>万元的安全事故，承包人应支付违约金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万元。发生人身伤亡、财产损失承包人未予以及时处理好，而引起发包人垫付赔偿费用的，发包人从工程进度款或者工程结算价款中扣除相应的款项。</w:t>
      </w:r>
    </w:p>
    <w:p w14:paraId="3A26ED8A">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③承包人的总承包范围的各分部分项工程，按设计图纸、设计变更、规范规程、验收标准，以及地方的有关规定、发包人要求进行施工和验收。如未达到此标准，承包人应采取措施在规定工期内进行整改。如规定时间内整改仍达不到要求，承包人将向发包人承担工程总造价 2% 的违约金；发包人有权委托第三方完成上述工作内容，发生的所有费用由承包人双倍承担，发包人在支付承包人的工程款项中进行扣除。</w:t>
      </w:r>
    </w:p>
    <w:p w14:paraId="68B569BE">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④承包人投入本工程的施工队伍的素质、能力、力量和机械等必须符合投标书的承诺和满足工程的实际需要。如由于承包人原因造成现场管理混乱，施工质量和进度明显达不到合同要求且无视发包人或监理工程师事先的书面整改通知书，拒不服从监理工程师监管，发包人有权要求其加强管理，调整充实施工力量，承包人必须接受。当上述措施仍无效时，发包人可单方面终止合同，并追究承包人本合同签约合同价</w:t>
      </w:r>
      <w:r>
        <w:rPr>
          <w:rFonts w:hint="eastAsia" w:ascii="仿宋" w:hAnsi="仿宋" w:eastAsia="仿宋" w:cs="仿宋"/>
          <w:b/>
          <w:color w:val="auto"/>
          <w:sz w:val="24"/>
          <w:highlight w:val="none"/>
          <w:u w:val="single"/>
          <w:lang w:val="en-US" w:eastAsia="zh-CN"/>
        </w:rPr>
        <w:t>10</w:t>
      </w:r>
      <w:r>
        <w:rPr>
          <w:rFonts w:hint="eastAsia" w:ascii="仿宋" w:hAnsi="仿宋" w:eastAsia="仿宋" w:cs="仿宋"/>
          <w:b/>
          <w:bCs/>
          <w:color w:val="auto"/>
          <w:kern w:val="1"/>
          <w:sz w:val="24"/>
          <w:highlight w:val="none"/>
          <w:u w:val="single"/>
        </w:rPr>
        <w:t>%的违约责任。</w:t>
      </w:r>
    </w:p>
    <w:p w14:paraId="2ADD47B8">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⑤承包人应对施工人员加强教育和管理，配合当地有关部门做好社会治安工作。本工程发包人当期支付给承包人的工程款中应该视为已经包含了当期已完工程的全部人工工资。承包人应按国家和工程所在地有关劳动工资支付的规定及时支付其所属员工（包括雇佣的民工）的工资及其他酬金，不得以工程款拖欠、结算纠纷、垫资施工等理由随意克扣或者无故拖欠。否则因拖欠工资（或其他酬金）而影响发包人单位或工程的正常秩序或搅乱当地社会稳定的，发包人有权停止支付工程款，每次事件（经主管部门认定的事件）发生，可要求承包人赔偿由此给发包人造成的其他损失。</w:t>
      </w:r>
    </w:p>
    <w:p w14:paraId="6C7FF3C0">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⑥承包人应确保发包人支付的工程进度款专款专用，优先支付农民工工资，如发现承包人将工程款挪作他用，发包人有权延期支付当期进度款的不少于</w:t>
      </w:r>
      <w:r>
        <w:rPr>
          <w:rFonts w:hint="eastAsia" w:ascii="仿宋" w:hAnsi="仿宋" w:eastAsia="仿宋" w:cs="仿宋"/>
          <w:b/>
          <w:color w:val="auto"/>
          <w:sz w:val="24"/>
          <w:highlight w:val="none"/>
          <w:u w:val="single"/>
          <w:lang w:val="en-US" w:eastAsia="zh-CN"/>
        </w:rPr>
        <w:t>20</w:t>
      </w:r>
      <w:r>
        <w:rPr>
          <w:rFonts w:hint="eastAsia" w:ascii="仿宋" w:hAnsi="仿宋" w:eastAsia="仿宋" w:cs="仿宋"/>
          <w:b/>
          <w:bCs/>
          <w:color w:val="auto"/>
          <w:kern w:val="1"/>
          <w:sz w:val="24"/>
          <w:highlight w:val="none"/>
          <w:u w:val="single"/>
        </w:rPr>
        <w:t>%，同时，承包人向发包人支付违约金不少于</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元/次。</w:t>
      </w:r>
    </w:p>
    <w:p w14:paraId="304B32F9">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⑦在工程施工过程中以及工程保修期内，由于承包人责任出现质量问题、安全事故、拖欠农民工工资或者其他原因，受到报纸、电视等媒体的曝光或政府有关主管部门的通报批评的，承包人应积极处理控制事态，消除事件对发包人声誉的影响。同时，承包人须向发包人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万元/次，且发包人有权直接代为支付民工工资，并增加</w:t>
      </w:r>
      <w:r>
        <w:rPr>
          <w:rFonts w:hint="eastAsia" w:ascii="仿宋" w:hAnsi="仿宋" w:eastAsia="仿宋" w:cs="仿宋"/>
          <w:b/>
          <w:color w:val="auto"/>
          <w:sz w:val="24"/>
          <w:highlight w:val="none"/>
          <w:u w:val="single"/>
          <w:lang w:val="en-US" w:eastAsia="zh-CN"/>
        </w:rPr>
        <w:t>15</w:t>
      </w:r>
      <w:r>
        <w:rPr>
          <w:rFonts w:hint="eastAsia" w:ascii="仿宋" w:hAnsi="仿宋" w:eastAsia="仿宋" w:cs="仿宋"/>
          <w:b/>
          <w:bCs/>
          <w:color w:val="auto"/>
          <w:kern w:val="1"/>
          <w:sz w:val="24"/>
          <w:highlight w:val="none"/>
          <w:u w:val="single"/>
        </w:rPr>
        <w:t>%管理费，从工程进度款中直接扣除；该违约金不能免除承包人应承担的其他责任。发生三次以上时发包人有权单方面解除合同。</w:t>
      </w:r>
    </w:p>
    <w:p w14:paraId="77A61C0C">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⑧本合同约定的其他违约情形。</w:t>
      </w:r>
    </w:p>
    <w:p w14:paraId="758B2206">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承包人的违约金均可从工程进度款、结算款或质量保证金中扣除。针对承包人支付给发包人的赔偿款，发包人仅会就赔偿款向承包人开具相应收据作为凭证，不会就此开具专用发票。</w:t>
      </w:r>
    </w:p>
    <w:p w14:paraId="7DCC3971">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承包人明确表示或者以其行为表明不履行合同主要义务的：发包人有权解除合同 ；</w:t>
      </w:r>
    </w:p>
    <w:p w14:paraId="6FD37D48">
      <w:pPr>
        <w:spacing w:line="360" w:lineRule="exact"/>
        <w:ind w:firstLine="482" w:firstLineChars="200"/>
        <w:rPr>
          <w:rFonts w:ascii="仿宋" w:hAnsi="仿宋" w:eastAsia="仿宋" w:cs="仿宋"/>
          <w:color w:val="auto"/>
          <w:kern w:val="1"/>
          <w:sz w:val="24"/>
          <w:highlight w:val="none"/>
        </w:rPr>
      </w:pPr>
      <w:r>
        <w:rPr>
          <w:rFonts w:hint="eastAsia" w:ascii="仿宋" w:hAnsi="仿宋" w:eastAsia="仿宋" w:cs="仿宋"/>
          <w:b/>
          <w:bCs/>
          <w:color w:val="auto"/>
          <w:kern w:val="1"/>
          <w:sz w:val="24"/>
          <w:highlight w:val="none"/>
          <w:u w:val="single"/>
        </w:rPr>
        <w:t>承包人未能按照合同约定履行其他义务的：每发生一次，向发包人支付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 。</w:t>
      </w:r>
    </w:p>
    <w:p w14:paraId="473DA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16.2.3 因承包人违约解除合同</w:t>
      </w:r>
    </w:p>
    <w:p w14:paraId="432D043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关于承包人违约解除合同的特别约定：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 xml:space="preserve"> 承包人出现下列情况之一的，发包人有权单方面解除施工合同，或切割其承包的工程内容，解除合同或切割工程造成的损失由承包人承担：</w:t>
      </w:r>
    </w:p>
    <w:p w14:paraId="16042F2D">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（1）工程具备开工条件后，因承包人原因造成开工时间超过发包人要求开工时间一周的；</w:t>
      </w:r>
    </w:p>
    <w:p w14:paraId="4CC190D9">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（2）项目管理人员不到位、现场管理不力，造成工地施工管理混乱，文明施工达不到建设工程施工合同及规范要求，且不按要求整改的；</w:t>
      </w:r>
    </w:p>
    <w:p w14:paraId="1D93E1B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（3）工期严重滞后，无法按期完成合同工期的；</w:t>
      </w:r>
    </w:p>
    <w:p w14:paraId="127ED9F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 xml:space="preserve">（4）工程施工中存在重大安全、质量隐患且不按要求及时整改到位的。 </w:t>
      </w:r>
    </w:p>
    <w:p w14:paraId="1D1C9AF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在合同签订后5日内需自行办理施工线路的停电手续，项目完工后向淮南市供电部门办理送电及移交手续，并确保项目验收通过，如因</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原因导致停送电不及时，验收不通过或不能顺利移交的。</w:t>
      </w:r>
    </w:p>
    <w:p w14:paraId="752C73F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0"/>
          <w:sz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b/>
          <w:bCs/>
          <w:color w:val="auto"/>
          <w:sz w:val="24"/>
          <w:highlight w:val="none"/>
          <w:u w:val="single"/>
        </w:rPr>
        <w:t xml:space="preserve"> 由承包人承担。</w:t>
      </w:r>
    </w:p>
    <w:p w14:paraId="4DC0A06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17. 不可抗力 </w:t>
      </w:r>
      <w:r>
        <w:rPr>
          <w:rFonts w:hint="eastAsia" w:ascii="仿宋" w:hAnsi="仿宋" w:eastAsia="仿宋" w:cs="仿宋"/>
          <w:color w:val="auto"/>
          <w:kern w:val="1"/>
          <w:sz w:val="24"/>
          <w:highlight w:val="none"/>
        </w:rPr>
        <w:tab/>
      </w:r>
    </w:p>
    <w:p w14:paraId="5E8E14D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17.1 不可抗力的确认</w:t>
      </w:r>
    </w:p>
    <w:p w14:paraId="3C1D97C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除通用合同条款约定的不可抗力事件之外，视为不可抗力的其他情形： </w:t>
      </w:r>
      <w:r>
        <w:rPr>
          <w:rFonts w:hint="eastAsia" w:ascii="仿宋" w:hAnsi="仿宋" w:eastAsia="仿宋" w:cs="仿宋"/>
          <w:color w:val="auto"/>
          <w:kern w:val="1"/>
          <w:sz w:val="24"/>
          <w:highlight w:val="none"/>
          <w:u w:val="single"/>
        </w:rPr>
        <w:t>持续8小时以上的异常恶劣气候，以及由县级以上有关部门正式发布和认定的自然灾害</w:t>
      </w:r>
      <w:r>
        <w:rPr>
          <w:rFonts w:hint="eastAsia" w:ascii="仿宋" w:hAnsi="仿宋" w:eastAsia="仿宋" w:cs="仿宋"/>
          <w:color w:val="auto"/>
          <w:kern w:val="1"/>
          <w:sz w:val="24"/>
          <w:highlight w:val="none"/>
        </w:rPr>
        <w:t>。</w:t>
      </w:r>
    </w:p>
    <w:p w14:paraId="66CEB5C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17.2 因不可抗力解除合同</w:t>
      </w:r>
    </w:p>
    <w:p w14:paraId="3AC767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合同解除后，发包人应在商定或确定发包人应支付款项后</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天内完成款项的支付。</w:t>
      </w:r>
    </w:p>
    <w:p w14:paraId="168B03B1">
      <w:pPr>
        <w:spacing w:line="360" w:lineRule="exact"/>
        <w:ind w:firstLine="480" w:firstLineChars="200"/>
        <w:rPr>
          <w:rFonts w:ascii="仿宋" w:hAnsi="仿宋" w:eastAsia="仿宋" w:cs="仿宋"/>
          <w:color w:val="auto"/>
          <w:kern w:val="1"/>
          <w:sz w:val="24"/>
          <w:highlight w:val="none"/>
        </w:rPr>
      </w:pPr>
      <w:bookmarkStart w:id="1294" w:name="_Toc351203650"/>
      <w:bookmarkEnd w:id="1294"/>
      <w:r>
        <w:rPr>
          <w:rFonts w:hint="eastAsia" w:ascii="仿宋" w:hAnsi="仿宋" w:eastAsia="仿宋" w:cs="仿宋"/>
          <w:color w:val="auto"/>
          <w:kern w:val="1"/>
          <w:sz w:val="24"/>
          <w:highlight w:val="none"/>
        </w:rPr>
        <w:t>18. 保险</w:t>
      </w:r>
    </w:p>
    <w:p w14:paraId="7DD0868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18.1 工程保险</w:t>
      </w:r>
    </w:p>
    <w:p w14:paraId="7BD607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关于工程保险的特别约定：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承包人应按规定办理施工人员意外伤害保险并承担该项保险的一切费用。其他有关部门规定必须办理或要求办理的各类强制保险、劳动保险和发包人认为需投保的保险等由承包人自己负责办理并承担一切费用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4119D7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18.2 其他保险</w:t>
      </w:r>
    </w:p>
    <w:p w14:paraId="5104A89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关于其他保险的约定：</w:t>
      </w:r>
      <w:r>
        <w:rPr>
          <w:rFonts w:hint="eastAsia" w:ascii="仿宋" w:hAnsi="仿宋" w:eastAsia="仿宋" w:cs="仿宋"/>
          <w:b/>
          <w:bCs/>
          <w:color w:val="auto"/>
          <w:kern w:val="1"/>
          <w:sz w:val="24"/>
          <w:highlight w:val="none"/>
          <w:u w:val="single"/>
        </w:rPr>
        <w:t>承包人必须依照法律规定参保。承包人应为其施工现场的全部人员办理意外伤害保险并支付保险费，包括其员工及为履行合同聘请的第三方的人员 。</w:t>
      </w:r>
    </w:p>
    <w:p w14:paraId="7EB4B4A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承包人是否应为其施工设备等办理财产保险：</w:t>
      </w:r>
      <w:r>
        <w:rPr>
          <w:rFonts w:hint="eastAsia" w:ascii="仿宋" w:hAnsi="仿宋" w:eastAsia="仿宋" w:cs="仿宋"/>
          <w:b/>
          <w:bCs/>
          <w:color w:val="auto"/>
          <w:kern w:val="1"/>
          <w:sz w:val="24"/>
          <w:highlight w:val="none"/>
          <w:u w:val="single"/>
        </w:rPr>
        <w:t>是</w:t>
      </w:r>
      <w:r>
        <w:rPr>
          <w:rFonts w:hint="eastAsia" w:ascii="仿宋" w:hAnsi="仿宋" w:eastAsia="仿宋" w:cs="仿宋"/>
          <w:color w:val="auto"/>
          <w:kern w:val="1"/>
          <w:sz w:val="24"/>
          <w:highlight w:val="none"/>
        </w:rPr>
        <w:t>。</w:t>
      </w:r>
    </w:p>
    <w:p w14:paraId="1FCCDE1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18.3 通知义务</w:t>
      </w:r>
    </w:p>
    <w:p w14:paraId="0FBE358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关于变更保险合同时的通知义务的约定：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承包人在变更之日起30 天内，通知发包人并通知监理人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C7F35DC">
      <w:pPr>
        <w:spacing w:line="360" w:lineRule="exact"/>
        <w:ind w:firstLine="480" w:firstLineChars="200"/>
        <w:rPr>
          <w:rFonts w:ascii="仿宋" w:hAnsi="仿宋" w:eastAsia="仿宋" w:cs="仿宋"/>
          <w:color w:val="auto"/>
          <w:kern w:val="1"/>
          <w:sz w:val="24"/>
          <w:highlight w:val="none"/>
        </w:rPr>
      </w:pPr>
      <w:bookmarkStart w:id="1295" w:name="_Toc351203651"/>
      <w:bookmarkEnd w:id="1295"/>
      <w:r>
        <w:rPr>
          <w:rFonts w:hint="eastAsia" w:ascii="仿宋" w:hAnsi="仿宋" w:eastAsia="仿宋" w:cs="仿宋"/>
          <w:color w:val="auto"/>
          <w:kern w:val="1"/>
          <w:sz w:val="24"/>
          <w:highlight w:val="none"/>
        </w:rPr>
        <w:t>19. 争议解决</w:t>
      </w:r>
    </w:p>
    <w:p w14:paraId="7146E7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 争议评审</w:t>
      </w:r>
    </w:p>
    <w:p w14:paraId="1E3EDE9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合同当事人是否同意将工程争议提交争议评审小组决定：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p>
    <w:p w14:paraId="3893B1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19.1.1 争议评审小组的确定</w:t>
      </w:r>
    </w:p>
    <w:p w14:paraId="4F87346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合同当事人是否同意将工程争议提交争议评审小组决定：</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 xml:space="preserve">。  </w:t>
      </w:r>
    </w:p>
    <w:p w14:paraId="2046F20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19.1.1 争议评审小组的确定</w:t>
      </w:r>
    </w:p>
    <w:p w14:paraId="0A447B6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争议评审小组成员的确定：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5DF66A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选定争议评审员的期限：</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3EF598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争议评审小组成员的报酬承担方式：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9752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其他事项的约定：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1E330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19.2.2 争议评审小组的决定</w:t>
      </w:r>
    </w:p>
    <w:p w14:paraId="6728131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合同当事人关于本项的约定：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1246A45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19.3仲裁或诉讼</w:t>
      </w:r>
    </w:p>
    <w:p w14:paraId="71B60E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因合同及合同有关事项发生的争议，按下列第</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种方式解决：</w:t>
      </w:r>
    </w:p>
    <w:p w14:paraId="06C453F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（1）向</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仲裁委员会申请仲裁；</w:t>
      </w:r>
    </w:p>
    <w:p w14:paraId="02ACAE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（2）向</w:t>
      </w:r>
      <w:r>
        <w:rPr>
          <w:rFonts w:hint="eastAsia" w:ascii="仿宋" w:hAnsi="仿宋" w:eastAsia="仿宋" w:cs="仿宋"/>
          <w:color w:val="auto"/>
          <w:kern w:val="1"/>
          <w:sz w:val="24"/>
          <w:highlight w:val="none"/>
          <w:u w:val="single"/>
        </w:rPr>
        <w:t xml:space="preserve">      工程所在地        </w:t>
      </w:r>
      <w:r>
        <w:rPr>
          <w:rFonts w:hint="eastAsia" w:ascii="仿宋" w:hAnsi="仿宋" w:eastAsia="仿宋" w:cs="仿宋"/>
          <w:color w:val="auto"/>
          <w:kern w:val="1"/>
          <w:sz w:val="24"/>
          <w:highlight w:val="none"/>
        </w:rPr>
        <w:t>人民法院起诉。</w:t>
      </w:r>
    </w:p>
    <w:p w14:paraId="249C8D3A">
      <w:pPr>
        <w:keepNext/>
        <w:keepLines/>
        <w:spacing w:before="100" w:after="100" w:line="240" w:lineRule="atLeast"/>
        <w:rPr>
          <w:rFonts w:ascii="仿宋" w:hAnsi="仿宋" w:eastAsia="仿宋" w:cs="仿宋"/>
          <w:b/>
          <w:bCs/>
          <w:color w:val="auto"/>
          <w:sz w:val="28"/>
          <w:szCs w:val="32"/>
          <w:highlight w:val="none"/>
        </w:rPr>
      </w:pPr>
      <w:bookmarkStart w:id="1296" w:name="_Toc4406"/>
      <w:bookmarkStart w:id="1297" w:name="_Toc511035933"/>
      <w:bookmarkStart w:id="1298" w:name="_Toc22323"/>
      <w:bookmarkStart w:id="1299" w:name="_Toc9510"/>
      <w:bookmarkStart w:id="1300" w:name="_Toc29292"/>
      <w:bookmarkStart w:id="1301" w:name="_Toc484453865"/>
    </w:p>
    <w:p w14:paraId="3803768E">
      <w:pPr>
        <w:keepNext/>
        <w:keepLines/>
        <w:spacing w:before="100" w:after="100" w:line="240" w:lineRule="atLeast"/>
        <w:rPr>
          <w:rFonts w:ascii="仿宋" w:hAnsi="仿宋" w:eastAsia="仿宋" w:cs="仿宋"/>
          <w:b/>
          <w:bCs/>
          <w:color w:val="auto"/>
          <w:sz w:val="28"/>
          <w:szCs w:val="32"/>
          <w:highlight w:val="none"/>
        </w:rPr>
      </w:pPr>
    </w:p>
    <w:p w14:paraId="26529160">
      <w:pPr>
        <w:keepNext/>
        <w:keepLines/>
        <w:spacing w:before="100" w:after="100" w:line="240" w:lineRule="atLeast"/>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四、合同附件格式</w:t>
      </w:r>
      <w:bookmarkEnd w:id="1296"/>
      <w:bookmarkEnd w:id="1297"/>
      <w:bookmarkEnd w:id="1298"/>
      <w:bookmarkEnd w:id="1299"/>
      <w:bookmarkEnd w:id="1300"/>
      <w:bookmarkEnd w:id="1301"/>
    </w:p>
    <w:p w14:paraId="5563E6F2">
      <w:pPr>
        <w:rPr>
          <w:rFonts w:ascii="仿宋" w:hAnsi="仿宋" w:eastAsia="仿宋" w:cs="仿宋"/>
          <w:b/>
          <w:color w:val="auto"/>
          <w:szCs w:val="21"/>
          <w:highlight w:val="none"/>
        </w:rPr>
      </w:pPr>
    </w:p>
    <w:p w14:paraId="5BA1AE43">
      <w:pPr>
        <w:rPr>
          <w:rFonts w:ascii="仿宋" w:hAnsi="仿宋" w:eastAsia="仿宋" w:cs="仿宋"/>
          <w:b/>
          <w:color w:val="auto"/>
          <w:szCs w:val="21"/>
          <w:highlight w:val="none"/>
        </w:rPr>
      </w:pPr>
    </w:p>
    <w:p w14:paraId="5A234321">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附件1：承包人承揽工程项目一览表</w:t>
      </w:r>
    </w:p>
    <w:p w14:paraId="0B504DF1">
      <w:pPr>
        <w:autoSpaceDE w:val="0"/>
        <w:autoSpaceDN w:val="0"/>
        <w:adjustRightInd w:val="0"/>
        <w:spacing w:line="360" w:lineRule="auto"/>
        <w:rPr>
          <w:rFonts w:ascii="仿宋" w:hAnsi="仿宋" w:eastAsia="仿宋" w:cs="仿宋"/>
          <w:b/>
          <w:color w:val="auto"/>
          <w:sz w:val="44"/>
          <w:szCs w:val="44"/>
          <w:highlight w:val="none"/>
        </w:rPr>
      </w:pPr>
      <w:r>
        <w:rPr>
          <w:rFonts w:hint="eastAsia" w:ascii="仿宋" w:hAnsi="仿宋" w:eastAsia="仿宋" w:cs="仿宋"/>
          <w:color w:val="auto"/>
          <w:highlight w:val="none"/>
        </w:rPr>
        <w:t>附件2：</w:t>
      </w:r>
      <w:r>
        <w:rPr>
          <w:rFonts w:hint="eastAsia" w:ascii="仿宋" w:hAnsi="仿宋" w:eastAsia="仿宋" w:cs="仿宋"/>
          <w:color w:val="auto"/>
          <w:szCs w:val="21"/>
          <w:highlight w:val="none"/>
        </w:rPr>
        <w:t>关于不拖欠农民工工资的承诺</w:t>
      </w:r>
    </w:p>
    <w:p w14:paraId="00A35674">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附件3：廉洁协议书</w:t>
      </w:r>
    </w:p>
    <w:p w14:paraId="3258E07B">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：工程质量保修书</w:t>
      </w:r>
    </w:p>
    <w:p w14:paraId="56E5586E">
      <w:pPr>
        <w:rPr>
          <w:rFonts w:ascii="宋体" w:hAnsi="宋体" w:eastAsia="宋体" w:cs="宋体"/>
          <w:b/>
          <w:color w:val="auto"/>
          <w:szCs w:val="21"/>
          <w:highlight w:val="none"/>
        </w:rPr>
      </w:pPr>
    </w:p>
    <w:p w14:paraId="3D4DBB98">
      <w:pPr>
        <w:rPr>
          <w:rFonts w:ascii="宋体" w:hAnsi="宋体" w:eastAsia="宋体" w:cs="宋体"/>
          <w:b/>
          <w:color w:val="auto"/>
          <w:szCs w:val="21"/>
          <w:highlight w:val="none"/>
        </w:rPr>
      </w:pPr>
    </w:p>
    <w:p w14:paraId="22B813BD">
      <w:pPr>
        <w:rPr>
          <w:rFonts w:ascii="宋体" w:hAnsi="宋体" w:eastAsia="宋体" w:cs="宋体"/>
          <w:b/>
          <w:color w:val="auto"/>
          <w:szCs w:val="21"/>
          <w:highlight w:val="none"/>
        </w:rPr>
        <w:sectPr>
          <w:footerReference r:id="rId5" w:type="first"/>
          <w:footerReference r:id="rId4" w:type="default"/>
          <w:pgSz w:w="11907" w:h="16840"/>
          <w:pgMar w:top="1440" w:right="1080" w:bottom="1440" w:left="1080" w:header="851" w:footer="850" w:gutter="0"/>
          <w:pgNumType w:fmt="decimal" w:start="1"/>
          <w:cols w:space="720" w:num="1"/>
          <w:titlePg/>
          <w:docGrid w:linePitch="312" w:charSpace="0"/>
        </w:sectPr>
      </w:pPr>
    </w:p>
    <w:p w14:paraId="3B009663">
      <w:pPr>
        <w:rPr>
          <w:rFonts w:ascii="仿宋" w:hAnsi="仿宋" w:eastAsia="仿宋" w:cs="仿宋"/>
          <w:color w:val="auto"/>
          <w:sz w:val="30"/>
          <w:szCs w:val="30"/>
          <w:highlight w:val="none"/>
        </w:rPr>
      </w:pPr>
      <w:r>
        <w:rPr>
          <w:rFonts w:hint="eastAsia" w:ascii="仿宋" w:hAnsi="仿宋" w:eastAsia="仿宋" w:cs="仿宋"/>
          <w:b/>
          <w:color w:val="auto"/>
          <w:szCs w:val="21"/>
          <w:highlight w:val="none"/>
        </w:rPr>
        <w:t>附件一</w:t>
      </w:r>
      <w:r>
        <w:rPr>
          <w:rFonts w:hint="eastAsia" w:ascii="仿宋" w:hAnsi="仿宋" w:eastAsia="仿宋" w:cs="仿宋"/>
          <w:color w:val="auto"/>
          <w:sz w:val="30"/>
          <w:szCs w:val="30"/>
          <w:highlight w:val="none"/>
        </w:rPr>
        <w:t>承包人承揽工程项目一览表</w:t>
      </w:r>
    </w:p>
    <w:tbl>
      <w:tblPr>
        <w:tblStyle w:val="2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67BC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ign w:val="center"/>
          </w:tcPr>
          <w:p w14:paraId="50DFD90F">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单位工程名称</w:t>
            </w:r>
          </w:p>
        </w:tc>
        <w:tc>
          <w:tcPr>
            <w:tcW w:w="1843" w:type="dxa"/>
            <w:tcBorders>
              <w:top w:val="single" w:color="auto" w:sz="12" w:space="0"/>
              <w:bottom w:val="double" w:color="auto" w:sz="6" w:space="0"/>
            </w:tcBorders>
            <w:noWrap/>
            <w:vAlign w:val="center"/>
          </w:tcPr>
          <w:p w14:paraId="79EF31C2">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建设规模</w:t>
            </w:r>
          </w:p>
        </w:tc>
        <w:tc>
          <w:tcPr>
            <w:tcW w:w="1417" w:type="dxa"/>
            <w:tcBorders>
              <w:top w:val="single" w:color="auto" w:sz="12" w:space="0"/>
              <w:bottom w:val="double" w:color="auto" w:sz="6" w:space="0"/>
            </w:tcBorders>
            <w:noWrap/>
            <w:vAlign w:val="center"/>
          </w:tcPr>
          <w:p w14:paraId="6FBAA1D0">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建筑面积（平方米）</w:t>
            </w:r>
          </w:p>
        </w:tc>
        <w:tc>
          <w:tcPr>
            <w:tcW w:w="2410" w:type="dxa"/>
            <w:tcBorders>
              <w:top w:val="single" w:color="auto" w:sz="12" w:space="0"/>
              <w:bottom w:val="double" w:color="auto" w:sz="6" w:space="0"/>
            </w:tcBorders>
            <w:noWrap/>
            <w:vAlign w:val="center"/>
          </w:tcPr>
          <w:p w14:paraId="1CD0F41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结构形式</w:t>
            </w:r>
          </w:p>
        </w:tc>
        <w:tc>
          <w:tcPr>
            <w:tcW w:w="850" w:type="dxa"/>
            <w:tcBorders>
              <w:top w:val="single" w:color="auto" w:sz="12" w:space="0"/>
              <w:bottom w:val="double" w:color="auto" w:sz="6" w:space="0"/>
            </w:tcBorders>
            <w:noWrap/>
            <w:vAlign w:val="center"/>
          </w:tcPr>
          <w:p w14:paraId="27DF890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层数</w:t>
            </w:r>
          </w:p>
        </w:tc>
        <w:tc>
          <w:tcPr>
            <w:tcW w:w="1560" w:type="dxa"/>
            <w:tcBorders>
              <w:top w:val="single" w:color="auto" w:sz="12" w:space="0"/>
              <w:bottom w:val="double" w:color="auto" w:sz="6" w:space="0"/>
            </w:tcBorders>
            <w:noWrap/>
            <w:vAlign w:val="center"/>
          </w:tcPr>
          <w:p w14:paraId="52A64C8F">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生产能力</w:t>
            </w:r>
          </w:p>
        </w:tc>
        <w:tc>
          <w:tcPr>
            <w:tcW w:w="2126" w:type="dxa"/>
            <w:tcBorders>
              <w:top w:val="single" w:color="auto" w:sz="12" w:space="0"/>
              <w:bottom w:val="double" w:color="auto" w:sz="6" w:space="0"/>
            </w:tcBorders>
            <w:noWrap/>
            <w:vAlign w:val="center"/>
          </w:tcPr>
          <w:p w14:paraId="49ED727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设备安装内容</w:t>
            </w:r>
          </w:p>
        </w:tc>
        <w:tc>
          <w:tcPr>
            <w:tcW w:w="1417" w:type="dxa"/>
            <w:tcBorders>
              <w:top w:val="single" w:color="auto" w:sz="12" w:space="0"/>
              <w:bottom w:val="double" w:color="auto" w:sz="6" w:space="0"/>
            </w:tcBorders>
            <w:noWrap/>
            <w:vAlign w:val="center"/>
          </w:tcPr>
          <w:p w14:paraId="1715F126">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合同价格（元）</w:t>
            </w:r>
          </w:p>
        </w:tc>
        <w:tc>
          <w:tcPr>
            <w:tcW w:w="851" w:type="dxa"/>
            <w:tcBorders>
              <w:top w:val="single" w:color="auto" w:sz="12" w:space="0"/>
              <w:bottom w:val="double" w:color="auto" w:sz="6" w:space="0"/>
            </w:tcBorders>
            <w:noWrap/>
            <w:vAlign w:val="center"/>
          </w:tcPr>
          <w:p w14:paraId="10B56BB7">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开工日期</w:t>
            </w:r>
          </w:p>
        </w:tc>
        <w:tc>
          <w:tcPr>
            <w:tcW w:w="850" w:type="dxa"/>
            <w:tcBorders>
              <w:top w:val="single" w:color="auto" w:sz="12" w:space="0"/>
              <w:bottom w:val="double" w:color="auto" w:sz="6" w:space="0"/>
            </w:tcBorders>
            <w:noWrap/>
            <w:vAlign w:val="center"/>
          </w:tcPr>
          <w:p w14:paraId="41A751EC">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竣工日期</w:t>
            </w:r>
          </w:p>
        </w:tc>
      </w:tr>
      <w:tr w14:paraId="69C59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ign w:val="center"/>
          </w:tcPr>
          <w:p w14:paraId="47A4116D">
            <w:pPr>
              <w:keepNext/>
              <w:spacing w:line="440" w:lineRule="exact"/>
              <w:ind w:left="63" w:right="63"/>
              <w:rPr>
                <w:rFonts w:ascii="仿宋" w:hAnsi="仿宋" w:eastAsia="仿宋" w:cs="仿宋"/>
                <w:color w:val="auto"/>
                <w:sz w:val="30"/>
                <w:szCs w:val="30"/>
                <w:highlight w:val="none"/>
              </w:rPr>
            </w:pPr>
          </w:p>
        </w:tc>
        <w:tc>
          <w:tcPr>
            <w:tcW w:w="1843" w:type="dxa"/>
            <w:tcBorders>
              <w:top w:val="double" w:color="auto" w:sz="6" w:space="0"/>
              <w:bottom w:val="single" w:color="auto" w:sz="6" w:space="0"/>
            </w:tcBorders>
            <w:noWrap/>
            <w:vAlign w:val="center"/>
          </w:tcPr>
          <w:p w14:paraId="2D07C6F5">
            <w:pPr>
              <w:keepNext/>
              <w:spacing w:line="440" w:lineRule="exact"/>
              <w:ind w:left="63" w:right="63"/>
              <w:rPr>
                <w:rFonts w:ascii="仿宋" w:hAnsi="仿宋" w:eastAsia="仿宋" w:cs="仿宋"/>
                <w:color w:val="auto"/>
                <w:sz w:val="30"/>
                <w:szCs w:val="30"/>
                <w:highlight w:val="none"/>
              </w:rPr>
            </w:pPr>
          </w:p>
        </w:tc>
        <w:tc>
          <w:tcPr>
            <w:tcW w:w="1417" w:type="dxa"/>
            <w:tcBorders>
              <w:top w:val="double" w:color="auto" w:sz="6" w:space="0"/>
              <w:bottom w:val="single" w:color="auto" w:sz="6" w:space="0"/>
            </w:tcBorders>
            <w:noWrap/>
            <w:vAlign w:val="center"/>
          </w:tcPr>
          <w:p w14:paraId="738C9C10">
            <w:pPr>
              <w:keepNext/>
              <w:spacing w:line="440" w:lineRule="exact"/>
              <w:ind w:left="63" w:right="63"/>
              <w:rPr>
                <w:rFonts w:ascii="仿宋" w:hAnsi="仿宋" w:eastAsia="仿宋" w:cs="仿宋"/>
                <w:color w:val="auto"/>
                <w:sz w:val="30"/>
                <w:szCs w:val="30"/>
                <w:highlight w:val="none"/>
              </w:rPr>
            </w:pPr>
          </w:p>
        </w:tc>
        <w:tc>
          <w:tcPr>
            <w:tcW w:w="2410" w:type="dxa"/>
            <w:tcBorders>
              <w:top w:val="double" w:color="auto" w:sz="6" w:space="0"/>
              <w:bottom w:val="single" w:color="auto" w:sz="6" w:space="0"/>
            </w:tcBorders>
            <w:noWrap/>
            <w:vAlign w:val="center"/>
          </w:tcPr>
          <w:p w14:paraId="3EDE2DE6">
            <w:pPr>
              <w:keepNext/>
              <w:spacing w:line="440" w:lineRule="exact"/>
              <w:ind w:left="63" w:right="63"/>
              <w:rPr>
                <w:rFonts w:ascii="仿宋" w:hAnsi="仿宋" w:eastAsia="仿宋" w:cs="仿宋"/>
                <w:color w:val="auto"/>
                <w:sz w:val="30"/>
                <w:szCs w:val="30"/>
                <w:highlight w:val="none"/>
              </w:rPr>
            </w:pPr>
          </w:p>
        </w:tc>
        <w:tc>
          <w:tcPr>
            <w:tcW w:w="850" w:type="dxa"/>
            <w:tcBorders>
              <w:top w:val="double" w:color="auto" w:sz="6" w:space="0"/>
              <w:bottom w:val="single" w:color="auto" w:sz="6" w:space="0"/>
            </w:tcBorders>
            <w:noWrap/>
            <w:vAlign w:val="center"/>
          </w:tcPr>
          <w:p w14:paraId="7680A87E">
            <w:pPr>
              <w:keepNext/>
              <w:spacing w:line="440" w:lineRule="exact"/>
              <w:ind w:left="63" w:right="63"/>
              <w:rPr>
                <w:rFonts w:ascii="仿宋" w:hAnsi="仿宋" w:eastAsia="仿宋" w:cs="仿宋"/>
                <w:color w:val="auto"/>
                <w:sz w:val="30"/>
                <w:szCs w:val="30"/>
                <w:highlight w:val="none"/>
              </w:rPr>
            </w:pPr>
          </w:p>
        </w:tc>
        <w:tc>
          <w:tcPr>
            <w:tcW w:w="1560" w:type="dxa"/>
            <w:tcBorders>
              <w:top w:val="double" w:color="auto" w:sz="6" w:space="0"/>
              <w:bottom w:val="single" w:color="auto" w:sz="6" w:space="0"/>
            </w:tcBorders>
            <w:noWrap/>
            <w:vAlign w:val="center"/>
          </w:tcPr>
          <w:p w14:paraId="6E0E09DA">
            <w:pPr>
              <w:keepNext/>
              <w:spacing w:line="440" w:lineRule="exact"/>
              <w:ind w:left="63" w:right="63"/>
              <w:rPr>
                <w:rFonts w:ascii="仿宋" w:hAnsi="仿宋" w:eastAsia="仿宋" w:cs="仿宋"/>
                <w:color w:val="auto"/>
                <w:sz w:val="30"/>
                <w:szCs w:val="30"/>
                <w:highlight w:val="none"/>
              </w:rPr>
            </w:pPr>
          </w:p>
        </w:tc>
        <w:tc>
          <w:tcPr>
            <w:tcW w:w="2126" w:type="dxa"/>
            <w:tcBorders>
              <w:top w:val="double" w:color="auto" w:sz="6" w:space="0"/>
              <w:bottom w:val="single" w:color="auto" w:sz="6" w:space="0"/>
            </w:tcBorders>
            <w:noWrap/>
            <w:vAlign w:val="center"/>
          </w:tcPr>
          <w:p w14:paraId="2F58B261">
            <w:pPr>
              <w:keepNext/>
              <w:spacing w:line="440" w:lineRule="exact"/>
              <w:ind w:left="63" w:right="63"/>
              <w:rPr>
                <w:rFonts w:ascii="仿宋" w:hAnsi="仿宋" w:eastAsia="仿宋" w:cs="仿宋"/>
                <w:color w:val="auto"/>
                <w:sz w:val="30"/>
                <w:szCs w:val="30"/>
                <w:highlight w:val="none"/>
              </w:rPr>
            </w:pPr>
          </w:p>
        </w:tc>
        <w:tc>
          <w:tcPr>
            <w:tcW w:w="1417" w:type="dxa"/>
            <w:tcBorders>
              <w:top w:val="double" w:color="auto" w:sz="6" w:space="0"/>
              <w:bottom w:val="single" w:color="auto" w:sz="6" w:space="0"/>
            </w:tcBorders>
            <w:noWrap/>
            <w:vAlign w:val="center"/>
          </w:tcPr>
          <w:p w14:paraId="72B6C858">
            <w:pPr>
              <w:keepNext/>
              <w:spacing w:line="440" w:lineRule="exact"/>
              <w:ind w:left="63" w:right="63"/>
              <w:rPr>
                <w:rFonts w:ascii="仿宋" w:hAnsi="仿宋" w:eastAsia="仿宋" w:cs="仿宋"/>
                <w:color w:val="auto"/>
                <w:sz w:val="30"/>
                <w:szCs w:val="30"/>
                <w:highlight w:val="none"/>
              </w:rPr>
            </w:pPr>
          </w:p>
        </w:tc>
        <w:tc>
          <w:tcPr>
            <w:tcW w:w="851" w:type="dxa"/>
            <w:tcBorders>
              <w:top w:val="double" w:color="auto" w:sz="6" w:space="0"/>
              <w:bottom w:val="single" w:color="auto" w:sz="6" w:space="0"/>
            </w:tcBorders>
            <w:noWrap/>
            <w:vAlign w:val="center"/>
          </w:tcPr>
          <w:p w14:paraId="4410A410">
            <w:pPr>
              <w:keepNext/>
              <w:spacing w:line="440" w:lineRule="exact"/>
              <w:ind w:left="63" w:right="63"/>
              <w:rPr>
                <w:rFonts w:ascii="仿宋" w:hAnsi="仿宋" w:eastAsia="仿宋" w:cs="仿宋"/>
                <w:color w:val="auto"/>
                <w:sz w:val="30"/>
                <w:szCs w:val="30"/>
                <w:highlight w:val="none"/>
              </w:rPr>
            </w:pPr>
          </w:p>
        </w:tc>
        <w:tc>
          <w:tcPr>
            <w:tcW w:w="850" w:type="dxa"/>
            <w:tcBorders>
              <w:top w:val="double" w:color="auto" w:sz="6" w:space="0"/>
              <w:bottom w:val="single" w:color="auto" w:sz="6" w:space="0"/>
            </w:tcBorders>
            <w:noWrap/>
            <w:vAlign w:val="center"/>
          </w:tcPr>
          <w:p w14:paraId="2744B665">
            <w:pPr>
              <w:keepNext/>
              <w:spacing w:line="440" w:lineRule="exact"/>
              <w:ind w:left="63" w:right="63"/>
              <w:rPr>
                <w:rFonts w:ascii="仿宋" w:hAnsi="仿宋" w:eastAsia="仿宋" w:cs="仿宋"/>
                <w:color w:val="auto"/>
                <w:sz w:val="30"/>
                <w:szCs w:val="30"/>
                <w:highlight w:val="none"/>
              </w:rPr>
            </w:pPr>
          </w:p>
        </w:tc>
      </w:tr>
      <w:tr w14:paraId="61713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35D30158">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01328267">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2640E419">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168D1045">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502344CD">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422C62DB">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2640317B">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36B2595">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65F71FA3">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35F6091">
            <w:pPr>
              <w:keepNext/>
              <w:spacing w:line="440" w:lineRule="exact"/>
              <w:ind w:left="63" w:right="63"/>
              <w:rPr>
                <w:rFonts w:ascii="仿宋" w:hAnsi="仿宋" w:eastAsia="仿宋" w:cs="仿宋"/>
                <w:color w:val="auto"/>
                <w:sz w:val="30"/>
                <w:szCs w:val="30"/>
                <w:highlight w:val="none"/>
              </w:rPr>
            </w:pPr>
          </w:p>
        </w:tc>
      </w:tr>
      <w:tr w14:paraId="2A029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131FA5F6">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3C045733">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9562E65">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7C0CFDD4">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3F3815F7">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60716B40">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05048648">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6AB7D13">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31086B16">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72D40F1B">
            <w:pPr>
              <w:keepNext/>
              <w:spacing w:line="440" w:lineRule="exact"/>
              <w:ind w:left="63" w:right="63"/>
              <w:rPr>
                <w:rFonts w:ascii="仿宋" w:hAnsi="仿宋" w:eastAsia="仿宋" w:cs="仿宋"/>
                <w:color w:val="auto"/>
                <w:sz w:val="30"/>
                <w:szCs w:val="30"/>
                <w:highlight w:val="none"/>
              </w:rPr>
            </w:pPr>
          </w:p>
        </w:tc>
      </w:tr>
      <w:tr w14:paraId="0DD31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2B5A85DB">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21C20C10">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680C142B">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241922A7">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5373889D">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1FECE6F">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4415DC0B">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9B4C40E">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21D75384">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A8D3DA0">
            <w:pPr>
              <w:keepNext/>
              <w:spacing w:line="440" w:lineRule="exact"/>
              <w:ind w:left="63" w:right="63"/>
              <w:rPr>
                <w:rFonts w:ascii="仿宋" w:hAnsi="仿宋" w:eastAsia="仿宋" w:cs="仿宋"/>
                <w:color w:val="auto"/>
                <w:sz w:val="30"/>
                <w:szCs w:val="30"/>
                <w:highlight w:val="none"/>
              </w:rPr>
            </w:pPr>
          </w:p>
        </w:tc>
      </w:tr>
      <w:tr w14:paraId="72AEB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2DCC11EB">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112E2F8B">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0524443F">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69AD21F7">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0DC7B239">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59F4C159">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1EF73A0F">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FCCEF53">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0B731850">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76BB1D29">
            <w:pPr>
              <w:keepNext/>
              <w:spacing w:line="440" w:lineRule="exact"/>
              <w:ind w:left="63" w:right="63"/>
              <w:rPr>
                <w:rFonts w:ascii="仿宋" w:hAnsi="仿宋" w:eastAsia="仿宋" w:cs="仿宋"/>
                <w:color w:val="auto"/>
                <w:sz w:val="30"/>
                <w:szCs w:val="30"/>
                <w:highlight w:val="none"/>
              </w:rPr>
            </w:pPr>
          </w:p>
        </w:tc>
      </w:tr>
      <w:tr w14:paraId="61BA9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4403F688">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29E23B13">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38BDA9DA">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4C06491E">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47C1AC6E">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FAA2125">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46C732C4">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026DB09">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6A7446E2">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FC9EB9B">
            <w:pPr>
              <w:keepNext/>
              <w:spacing w:line="440" w:lineRule="exact"/>
              <w:ind w:left="63" w:right="63"/>
              <w:rPr>
                <w:rFonts w:ascii="仿宋" w:hAnsi="仿宋" w:eastAsia="仿宋" w:cs="仿宋"/>
                <w:color w:val="auto"/>
                <w:sz w:val="30"/>
                <w:szCs w:val="30"/>
                <w:highlight w:val="none"/>
              </w:rPr>
            </w:pPr>
          </w:p>
        </w:tc>
      </w:tr>
      <w:tr w14:paraId="7E753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7CA12406">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240F9D01">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177F7614">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0D0C6FC1">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15440AF">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26D388CC">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11BF1C55">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4F08062C">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2A1E5BDD">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D0C4A62">
            <w:pPr>
              <w:keepNext/>
              <w:spacing w:line="440" w:lineRule="exact"/>
              <w:ind w:left="63" w:right="63"/>
              <w:rPr>
                <w:rFonts w:ascii="仿宋" w:hAnsi="仿宋" w:eastAsia="仿宋" w:cs="仿宋"/>
                <w:color w:val="auto"/>
                <w:sz w:val="30"/>
                <w:szCs w:val="30"/>
                <w:highlight w:val="none"/>
              </w:rPr>
            </w:pPr>
          </w:p>
        </w:tc>
      </w:tr>
      <w:tr w14:paraId="277C7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623AB0D8">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677775C2">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001785B4">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682D3E7D">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5AA3E7A">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39DD4DFE">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76340F19">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AB70EE9">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0F06EFCA">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9E0FCEB">
            <w:pPr>
              <w:keepNext/>
              <w:spacing w:line="440" w:lineRule="exact"/>
              <w:ind w:left="63" w:right="63"/>
              <w:rPr>
                <w:rFonts w:ascii="仿宋" w:hAnsi="仿宋" w:eastAsia="仿宋" w:cs="仿宋"/>
                <w:color w:val="auto"/>
                <w:sz w:val="30"/>
                <w:szCs w:val="30"/>
                <w:highlight w:val="none"/>
              </w:rPr>
            </w:pPr>
          </w:p>
        </w:tc>
      </w:tr>
      <w:tr w14:paraId="671D8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4FD1582A">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13EA4BD8">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09D8DA1">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6994C19A">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20FE3632">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00323EFA">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7770DD04">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04457755">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5C27FC20">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15EA1D4C">
            <w:pPr>
              <w:keepNext/>
              <w:spacing w:line="440" w:lineRule="exact"/>
              <w:ind w:left="63" w:right="63"/>
              <w:rPr>
                <w:rFonts w:ascii="仿宋" w:hAnsi="仿宋" w:eastAsia="仿宋" w:cs="仿宋"/>
                <w:color w:val="auto"/>
                <w:sz w:val="30"/>
                <w:szCs w:val="30"/>
                <w:highlight w:val="none"/>
              </w:rPr>
            </w:pPr>
          </w:p>
        </w:tc>
      </w:tr>
      <w:tr w14:paraId="41C4D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711291F9">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1A3BAD67">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DA31C80">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39FB42EC">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26D1088">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45777F4C">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2C73DDDD">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21A934E0">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2878D9E0">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5B6D79B">
            <w:pPr>
              <w:keepNext/>
              <w:spacing w:line="440" w:lineRule="exact"/>
              <w:ind w:left="63" w:right="63"/>
              <w:rPr>
                <w:rFonts w:ascii="仿宋" w:hAnsi="仿宋" w:eastAsia="仿宋" w:cs="仿宋"/>
                <w:color w:val="auto"/>
                <w:sz w:val="30"/>
                <w:szCs w:val="30"/>
                <w:highlight w:val="none"/>
              </w:rPr>
            </w:pPr>
          </w:p>
        </w:tc>
      </w:tr>
      <w:tr w14:paraId="21B03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6BB77429">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6A53EE82">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6DB3CCEC">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54216DA6">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43B3DA48">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8387FCF">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7DA9493B">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739772A2">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7FD81F7F">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8A7257B">
            <w:pPr>
              <w:keepNext/>
              <w:spacing w:line="440" w:lineRule="exact"/>
              <w:ind w:left="63" w:right="63"/>
              <w:rPr>
                <w:rFonts w:ascii="仿宋" w:hAnsi="仿宋" w:eastAsia="仿宋" w:cs="仿宋"/>
                <w:color w:val="auto"/>
                <w:sz w:val="30"/>
                <w:szCs w:val="30"/>
                <w:highlight w:val="none"/>
              </w:rPr>
            </w:pPr>
          </w:p>
        </w:tc>
      </w:tr>
    </w:tbl>
    <w:p w14:paraId="1B1C6660">
      <w:pPr>
        <w:spacing w:line="440" w:lineRule="exact"/>
        <w:rPr>
          <w:rFonts w:ascii="仿宋" w:hAnsi="仿宋" w:eastAsia="仿宋" w:cs="仿宋"/>
          <w:b/>
          <w:color w:val="auto"/>
          <w:sz w:val="30"/>
          <w:szCs w:val="30"/>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0A561999">
      <w:pPr>
        <w:rPr>
          <w:rFonts w:ascii="仿宋" w:hAnsi="仿宋" w:eastAsia="仿宋" w:cs="仿宋"/>
          <w:color w:val="auto"/>
          <w:szCs w:val="21"/>
          <w:highlight w:val="none"/>
        </w:rPr>
      </w:pPr>
      <w:r>
        <w:rPr>
          <w:rFonts w:hint="eastAsia" w:ascii="仿宋" w:hAnsi="仿宋" w:eastAsia="仿宋" w:cs="仿宋"/>
          <w:b/>
          <w:color w:val="auto"/>
          <w:szCs w:val="21"/>
          <w:highlight w:val="none"/>
        </w:rPr>
        <w:t>附件二</w:t>
      </w:r>
    </w:p>
    <w:p w14:paraId="56B89FC7">
      <w:pPr>
        <w:spacing w:before="48" w:beforeLines="20" w:after="48" w:afterLines="20"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关于不拖欠农民工工资的承诺（格式）</w:t>
      </w:r>
    </w:p>
    <w:p w14:paraId="712FD560">
      <w:pPr>
        <w:spacing w:before="48" w:beforeLines="20" w:after="48" w:afterLines="20" w:line="360" w:lineRule="auto"/>
        <w:ind w:firstLine="525" w:firstLineChars="250"/>
        <w:rPr>
          <w:rFonts w:ascii="仿宋" w:hAnsi="仿宋" w:eastAsia="仿宋" w:cs="仿宋"/>
          <w:color w:val="auto"/>
          <w:szCs w:val="21"/>
          <w:highlight w:val="none"/>
        </w:rPr>
      </w:pPr>
    </w:p>
    <w:p w14:paraId="4FE95111">
      <w:pPr>
        <w:spacing w:before="48" w:beforeLines="20" w:after="48" w:afterLines="20"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致：（采购人名称）</w:t>
      </w:r>
    </w:p>
    <w:p w14:paraId="5177CFD1">
      <w:pPr>
        <w:spacing w:before="48" w:beforeLines="20" w:after="48" w:afterLines="20"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我公司郑重承诺：我方将对                 （工程名称）进行投标。我方承诺：若我方中标，我方将按照《安徽省建设工程农民工工资支付保障暂行办法》 要求，向县级以上劳动保障行政部门提交农民工工资支付保障手续，保障农民工的权益，不拖欠农民工工资。如违反承诺，我方愿按有关规定接受任何处罚。</w:t>
      </w:r>
    </w:p>
    <w:p w14:paraId="59D466B8">
      <w:pPr>
        <w:spacing w:before="48" w:beforeLines="20" w:after="48" w:afterLines="20" w:line="360" w:lineRule="auto"/>
        <w:ind w:firstLine="4305" w:firstLineChars="2050"/>
        <w:rPr>
          <w:rFonts w:ascii="仿宋" w:hAnsi="仿宋" w:eastAsia="仿宋" w:cs="仿宋"/>
          <w:color w:val="auto"/>
          <w:szCs w:val="21"/>
          <w:highlight w:val="none"/>
        </w:rPr>
      </w:pPr>
      <w:r>
        <w:rPr>
          <w:rFonts w:hint="eastAsia" w:ascii="仿宋" w:hAnsi="仿宋" w:eastAsia="仿宋" w:cs="仿宋"/>
          <w:color w:val="auto"/>
          <w:szCs w:val="21"/>
          <w:highlight w:val="none"/>
        </w:rPr>
        <w:t>供应商：（盖单位章）</w:t>
      </w:r>
    </w:p>
    <w:p w14:paraId="2E0F835B">
      <w:pPr>
        <w:spacing w:before="48" w:beforeLines="20" w:after="48" w:afterLines="20" w:line="360" w:lineRule="auto"/>
        <w:ind w:firstLine="4305" w:firstLineChars="2050"/>
        <w:rPr>
          <w:rFonts w:ascii="仿宋" w:hAnsi="仿宋" w:eastAsia="仿宋" w:cs="仿宋"/>
          <w:color w:val="auto"/>
          <w:szCs w:val="21"/>
          <w:highlight w:val="none"/>
        </w:rPr>
      </w:pPr>
      <w:r>
        <w:rPr>
          <w:rFonts w:hint="eastAsia" w:ascii="仿宋" w:hAnsi="仿宋" w:eastAsia="仿宋" w:cs="仿宋"/>
          <w:color w:val="auto"/>
          <w:szCs w:val="21"/>
          <w:highlight w:val="none"/>
        </w:rPr>
        <w:t>法定代表人：（签名）</w:t>
      </w:r>
    </w:p>
    <w:p w14:paraId="0F8A19A6">
      <w:pPr>
        <w:spacing w:before="48" w:beforeLines="20" w:after="48" w:afterLines="20" w:line="360" w:lineRule="auto"/>
        <w:ind w:firstLine="4305" w:firstLineChars="2050"/>
        <w:rPr>
          <w:rFonts w:ascii="仿宋" w:hAnsi="仿宋" w:eastAsia="仿宋" w:cs="仿宋"/>
          <w:b/>
          <w:color w:val="auto"/>
          <w:szCs w:val="21"/>
          <w:highlight w:val="none"/>
        </w:rPr>
      </w:pPr>
      <w:r>
        <w:rPr>
          <w:rFonts w:hint="eastAsia" w:ascii="仿宋" w:hAnsi="仿宋" w:eastAsia="仿宋" w:cs="仿宋"/>
          <w:color w:val="auto"/>
          <w:szCs w:val="21"/>
          <w:highlight w:val="none"/>
        </w:rPr>
        <w:t>日  期：</w:t>
      </w:r>
    </w:p>
    <w:p w14:paraId="307D9C45">
      <w:pPr>
        <w:spacing w:before="48" w:beforeLines="20" w:after="48" w:afterLines="20" w:line="360" w:lineRule="auto"/>
        <w:rPr>
          <w:rFonts w:ascii="仿宋" w:hAnsi="仿宋" w:eastAsia="仿宋" w:cs="仿宋"/>
          <w:color w:val="auto"/>
          <w:szCs w:val="21"/>
          <w:highlight w:val="none"/>
        </w:rPr>
      </w:pPr>
    </w:p>
    <w:p w14:paraId="707E5A42">
      <w:pPr>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14:paraId="3EF0DFF9">
      <w:pPr>
        <w:rPr>
          <w:rFonts w:ascii="仿宋" w:hAnsi="仿宋" w:eastAsia="仿宋" w:cs="仿宋"/>
          <w:b/>
          <w:color w:val="auto"/>
          <w:szCs w:val="21"/>
          <w:highlight w:val="none"/>
        </w:rPr>
      </w:pPr>
      <w:r>
        <w:rPr>
          <w:rFonts w:hint="eastAsia" w:ascii="仿宋" w:hAnsi="仿宋" w:eastAsia="仿宋" w:cs="仿宋"/>
          <w:b/>
          <w:color w:val="auto"/>
          <w:szCs w:val="21"/>
          <w:highlight w:val="none"/>
        </w:rPr>
        <w:t>附件三</w:t>
      </w:r>
    </w:p>
    <w:p w14:paraId="61766F40">
      <w:pPr>
        <w:adjustRightInd w:val="0"/>
        <w:snapToGrid w:val="0"/>
        <w:spacing w:before="48" w:beforeLines="20" w:after="48" w:afterLines="20" w:line="360" w:lineRule="auto"/>
        <w:ind w:firstLine="4050" w:firstLineChars="1350"/>
        <w:rPr>
          <w:rFonts w:ascii="仿宋" w:hAnsi="仿宋" w:eastAsia="仿宋" w:cs="仿宋"/>
          <w:color w:val="auto"/>
          <w:sz w:val="28"/>
          <w:highlight w:val="none"/>
        </w:rPr>
      </w:pPr>
      <w:r>
        <w:rPr>
          <w:rFonts w:hint="eastAsia" w:ascii="仿宋" w:hAnsi="仿宋" w:eastAsia="仿宋" w:cs="仿宋"/>
          <w:color w:val="auto"/>
          <w:sz w:val="30"/>
          <w:highlight w:val="none"/>
        </w:rPr>
        <w:t>廉洁协议书</w:t>
      </w:r>
    </w:p>
    <w:p w14:paraId="3E296CCC">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发包人（全称）：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p>
    <w:p w14:paraId="7D2690A8">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承包人（全称）：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｛中标人名称｝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p>
    <w:p w14:paraId="0C7C1E7A">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D8B0D75">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为预防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（项目）合作过程中的违规、违纪和经济犯罪行为的发生，促进廉洁从业，经双方协商，达成如下协议：</w:t>
      </w:r>
    </w:p>
    <w:p w14:paraId="2CA711F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一、承揽甲方业务，乙方不得向甲方工作人员送钱、物、礼品、有价证券或有其他贿赂行为。如有违反，一经查实，将按以下约定追究乙方责任：</w:t>
      </w:r>
    </w:p>
    <w:p w14:paraId="0F7D195C">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1、甲方有权终止合作，并取消乙方及其项目经理三年内在甲方的合作资格。 </w:t>
      </w:r>
    </w:p>
    <w:p w14:paraId="7BBA10F8">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2、由此造成甲方的一切损失由乙方赔偿，且乙方交纳的各种保证金不予退还。</w:t>
      </w:r>
    </w:p>
    <w:p w14:paraId="41E408FB">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3、按贿赂金额的10倍支付违约金。</w:t>
      </w:r>
    </w:p>
    <w:p w14:paraId="1AA38535">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二、乙方应积极抵制歪风邪气，对甲方工作人员利用职务或工作之便进行索贿以及其他违反合作纪律的行为。</w:t>
      </w:r>
    </w:p>
    <w:p w14:paraId="3A47C44F">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三、本协议自签订之日起生效，与合作合同具有同等的法律效力。</w:t>
      </w:r>
    </w:p>
    <w:p w14:paraId="2BD102C1">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四、本协议份数与主合同一致。</w:t>
      </w:r>
    </w:p>
    <w:p w14:paraId="405F0676">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甲方（盖章）：　　　　　　　  乙方（盖章）：</w:t>
      </w:r>
    </w:p>
    <w:p w14:paraId="6E5BE28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法定代表人（委托代理人）：　　法定代表人（委托代理人）：</w:t>
      </w:r>
    </w:p>
    <w:p w14:paraId="6813141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年    月    日               年  　月　  日</w:t>
      </w:r>
    </w:p>
    <w:p w14:paraId="23B50ACC">
      <w:pPr>
        <w:spacing w:before="100" w:after="100" w:line="360" w:lineRule="exact"/>
        <w:jc w:val="center"/>
        <w:rPr>
          <w:rFonts w:ascii="仿宋" w:hAnsi="仿宋" w:eastAsia="仿宋" w:cs="仿宋"/>
          <w:b/>
          <w:color w:val="auto"/>
          <w:kern w:val="0"/>
          <w:sz w:val="24"/>
          <w:highlight w:val="none"/>
        </w:rPr>
      </w:pPr>
    </w:p>
    <w:p w14:paraId="12FC0CFA">
      <w:pPr>
        <w:rPr>
          <w:rFonts w:ascii="仿宋" w:hAnsi="仿宋" w:eastAsia="仿宋" w:cs="仿宋"/>
          <w:b/>
          <w:color w:val="auto"/>
          <w:szCs w:val="21"/>
          <w:highlight w:val="none"/>
        </w:rPr>
      </w:pPr>
    </w:p>
    <w:p w14:paraId="52E665EF">
      <w:pPr>
        <w:rPr>
          <w:rFonts w:ascii="仿宋" w:hAnsi="仿宋" w:eastAsia="仿宋" w:cs="仿宋"/>
          <w:b/>
          <w:color w:val="auto"/>
          <w:szCs w:val="21"/>
          <w:highlight w:val="none"/>
        </w:rPr>
      </w:pPr>
    </w:p>
    <w:p w14:paraId="598DCA17">
      <w:pPr>
        <w:spacing w:before="100" w:after="100" w:line="360" w:lineRule="auto"/>
        <w:jc w:val="left"/>
        <w:rPr>
          <w:rFonts w:ascii="仿宋" w:hAnsi="仿宋" w:eastAsia="仿宋" w:cs="仿宋"/>
          <w:b/>
          <w:color w:val="auto"/>
          <w:kern w:val="0"/>
          <w:szCs w:val="21"/>
          <w:highlight w:val="none"/>
        </w:rPr>
      </w:pPr>
    </w:p>
    <w:p w14:paraId="3E990C7D">
      <w:pPr>
        <w:spacing w:before="100" w:after="100" w:line="360" w:lineRule="auto"/>
        <w:jc w:val="left"/>
        <w:rPr>
          <w:rFonts w:ascii="仿宋" w:hAnsi="仿宋" w:eastAsia="仿宋" w:cs="仿宋"/>
          <w:b/>
          <w:color w:val="auto"/>
          <w:kern w:val="0"/>
          <w:szCs w:val="21"/>
          <w:highlight w:val="none"/>
        </w:rPr>
      </w:pPr>
    </w:p>
    <w:p w14:paraId="47138E7D">
      <w:pPr>
        <w:spacing w:before="100" w:after="100" w:line="360" w:lineRule="auto"/>
        <w:jc w:val="left"/>
        <w:rPr>
          <w:rFonts w:ascii="仿宋" w:hAnsi="仿宋" w:eastAsia="仿宋" w:cs="仿宋"/>
          <w:b/>
          <w:color w:val="auto"/>
          <w:kern w:val="0"/>
          <w:szCs w:val="21"/>
          <w:highlight w:val="none"/>
        </w:rPr>
      </w:pPr>
    </w:p>
    <w:p w14:paraId="2B36C468">
      <w:pPr>
        <w:spacing w:before="100" w:after="100" w:line="360" w:lineRule="auto"/>
        <w:jc w:val="left"/>
        <w:rPr>
          <w:rFonts w:ascii="仿宋" w:hAnsi="仿宋" w:eastAsia="仿宋" w:cs="仿宋"/>
          <w:b/>
          <w:color w:val="auto"/>
          <w:kern w:val="0"/>
          <w:szCs w:val="21"/>
          <w:highlight w:val="none"/>
        </w:rPr>
      </w:pPr>
    </w:p>
    <w:p w14:paraId="3A6E0959">
      <w:pPr>
        <w:spacing w:before="100" w:after="100" w:line="360" w:lineRule="auto"/>
        <w:jc w:val="left"/>
        <w:rPr>
          <w:rFonts w:ascii="仿宋" w:hAnsi="仿宋" w:eastAsia="仿宋" w:cs="仿宋"/>
          <w:b/>
          <w:color w:val="auto"/>
          <w:kern w:val="0"/>
          <w:szCs w:val="21"/>
          <w:highlight w:val="none"/>
        </w:rPr>
      </w:pPr>
    </w:p>
    <w:p w14:paraId="7D1C81A0">
      <w:pPr>
        <w:spacing w:before="100" w:after="100" w:line="360" w:lineRule="auto"/>
        <w:jc w:val="left"/>
        <w:rPr>
          <w:rFonts w:ascii="仿宋" w:hAnsi="仿宋" w:eastAsia="仿宋" w:cs="仿宋"/>
          <w:b/>
          <w:color w:val="auto"/>
          <w:kern w:val="0"/>
          <w:szCs w:val="21"/>
          <w:highlight w:val="none"/>
        </w:rPr>
      </w:pPr>
    </w:p>
    <w:p w14:paraId="38CA3F18">
      <w:pPr>
        <w:spacing w:before="100" w:after="100" w:line="360" w:lineRule="auto"/>
        <w:jc w:val="left"/>
        <w:rPr>
          <w:rFonts w:ascii="仿宋" w:hAnsi="仿宋" w:eastAsia="仿宋" w:cs="仿宋"/>
          <w:b/>
          <w:color w:val="auto"/>
          <w:kern w:val="0"/>
          <w:szCs w:val="21"/>
          <w:highlight w:val="none"/>
        </w:rPr>
      </w:pPr>
    </w:p>
    <w:p w14:paraId="12F50681">
      <w:pPr>
        <w:spacing w:before="100" w:after="100" w:line="360" w:lineRule="auto"/>
        <w:jc w:val="left"/>
        <w:rPr>
          <w:rFonts w:ascii="仿宋" w:hAnsi="仿宋" w:eastAsia="仿宋" w:cs="仿宋"/>
          <w:b/>
          <w:color w:val="auto"/>
          <w:kern w:val="0"/>
          <w:szCs w:val="21"/>
          <w:highlight w:val="none"/>
        </w:rPr>
      </w:pPr>
    </w:p>
    <w:p w14:paraId="15B69AEE">
      <w:pPr>
        <w:spacing w:before="100" w:after="100" w:line="360" w:lineRule="auto"/>
        <w:jc w:val="left"/>
        <w:rPr>
          <w:rFonts w:ascii="仿宋" w:hAnsi="仿宋" w:eastAsia="仿宋" w:cs="仿宋"/>
          <w:b/>
          <w:color w:val="auto"/>
          <w:kern w:val="0"/>
          <w:szCs w:val="21"/>
          <w:highlight w:val="none"/>
        </w:rPr>
      </w:pPr>
    </w:p>
    <w:p w14:paraId="2BDDF600">
      <w:pPr>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四</w:t>
      </w:r>
    </w:p>
    <w:p w14:paraId="0ABAB0D0">
      <w:pPr>
        <w:spacing w:before="120" w:beforeLines="50" w:after="120" w:afterLines="50" w:line="44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工程质量保修书</w:t>
      </w:r>
    </w:p>
    <w:p w14:paraId="5D96A7A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发包人（全称）：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47C64E2">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承包人（全称）：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0438A8B">
      <w:pPr>
        <w:autoSpaceDE w:val="0"/>
        <w:autoSpaceDN w:val="0"/>
        <w:spacing w:line="360" w:lineRule="auto"/>
        <w:ind w:firstLine="480" w:firstLineChars="200"/>
        <w:rPr>
          <w:rFonts w:ascii="仿宋" w:hAnsi="仿宋" w:eastAsia="仿宋" w:cs="仿宋"/>
          <w:color w:val="auto"/>
          <w:sz w:val="24"/>
          <w:highlight w:val="none"/>
        </w:rPr>
      </w:pPr>
    </w:p>
    <w:p w14:paraId="3F6E163C">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发包人和承包人根据《中华人民共和国建筑法》和《建设工程质量管理条例》，经协商一致就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（工程全称）签订工程质量保修书。</w:t>
      </w:r>
    </w:p>
    <w:p w14:paraId="01D8DFED">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一、工程质量保修范围和内容</w:t>
      </w:r>
    </w:p>
    <w:p w14:paraId="09FD25F2">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承包人在质量保修期内，按照有关法律规定和合同约定，承担工程质量保修责任。</w:t>
      </w:r>
    </w:p>
    <w:p w14:paraId="5C33E212">
      <w:pPr>
        <w:autoSpaceDE w:val="0"/>
        <w:autoSpaceDN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auto"/>
          <w:sz w:val="24"/>
          <w:highlight w:val="none"/>
          <w:u w:val="single"/>
        </w:rPr>
        <w:t xml:space="preserve">                   </w:t>
      </w:r>
    </w:p>
    <w:p w14:paraId="24860D5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二、质量保修期</w:t>
      </w:r>
    </w:p>
    <w:p w14:paraId="3BD2D406">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根据《建设工程质量管理条例》及有关规定，工程的质量保修期如下：</w:t>
      </w:r>
    </w:p>
    <w:p w14:paraId="0E0C3611">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1．地基基础工程和主体结构工程为设计文件规定的工程合理使用年限；</w:t>
      </w:r>
    </w:p>
    <w:p w14:paraId="54EB6B9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2．屋面防水工程、有防水要求的卫生间、房间和外墙面的防渗为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7C446F8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3．装修工程为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6E7860D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4．电气管线、给排水管道、设备安装工程为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563C1B1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5．供热与供冷系统为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个采暖期、供冷期；</w:t>
      </w:r>
    </w:p>
    <w:p w14:paraId="41138E29">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6．住宅小区内的给排水设施、道路等配套工程为</w:t>
      </w:r>
      <w:r>
        <w:rPr>
          <w:rFonts w:hint="eastAsia" w:ascii="仿宋" w:hAnsi="仿宋" w:eastAsia="仿宋" w:cs="仿宋"/>
          <w:color w:val="auto"/>
          <w:sz w:val="24"/>
          <w:highlight w:val="none"/>
          <w:u w:val="single"/>
          <w:lang w:val="en-US" w:eastAsia="zh-CN"/>
        </w:rPr>
        <w:t xml:space="preserve"> 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13C14675">
      <w:pPr>
        <w:autoSpaceDE w:val="0"/>
        <w:autoSpaceDN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7．其他项目保修期限约定如下：</w:t>
      </w:r>
      <w:r>
        <w:rPr>
          <w:rFonts w:hint="eastAsia" w:ascii="仿宋" w:hAnsi="仿宋" w:eastAsia="仿宋" w:cs="仿宋"/>
          <w:color w:val="auto"/>
          <w:sz w:val="24"/>
          <w:highlight w:val="none"/>
          <w:u w:val="single"/>
        </w:rPr>
        <w:t>按国家标准</w:t>
      </w:r>
    </w:p>
    <w:p w14:paraId="1727AF89">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质量保修期自工程竣工验收合格之日起计算。</w:t>
      </w:r>
    </w:p>
    <w:p w14:paraId="08DEF37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三、缺陷责任期</w:t>
      </w:r>
    </w:p>
    <w:p w14:paraId="286D2F3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工程缺陷责任期为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24</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个月，缺陷责任期自工程竣工验收合格之日起计算。单位工程先于全部工程进行验收，单位工程缺陷责任期自单位工程验收合格之日起算。</w:t>
      </w:r>
    </w:p>
    <w:p w14:paraId="79F1DAA8">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缺陷责任期终止后，发包人应退还剩余的质量保证金。</w:t>
      </w:r>
    </w:p>
    <w:p w14:paraId="6FE6CE9A">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四、质量保修责任</w:t>
      </w:r>
    </w:p>
    <w:p w14:paraId="067EE701">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1．属于保修范围、内容的项目，承包人应当在接到保修通知之日起7天内派人保修。承包人不在约定期限内派人保修的，发包人可以委托他人修理。</w:t>
      </w:r>
    </w:p>
    <w:p w14:paraId="3A03C5A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2．发生紧急事故需抢修的，承包人在接到事故通知后，应当立即到达事故现场抢修。</w:t>
      </w:r>
    </w:p>
    <w:p w14:paraId="4292FE9A">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0F62913">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4．质量保修完成后，由发包人组织验收。</w:t>
      </w:r>
    </w:p>
    <w:p w14:paraId="6A178D0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五、保修费用</w:t>
      </w:r>
    </w:p>
    <w:p w14:paraId="463F68BF">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保修费用由造成质量缺陷的责任方承担。</w:t>
      </w:r>
    </w:p>
    <w:p w14:paraId="0B0DD853">
      <w:pPr>
        <w:autoSpaceDE w:val="0"/>
        <w:autoSpaceDN w:val="0"/>
        <w:spacing w:line="360" w:lineRule="auto"/>
        <w:ind w:firstLine="482" w:firstLineChars="200"/>
        <w:jc w:val="left"/>
        <w:rPr>
          <w:rFonts w:ascii="仿宋" w:hAnsi="仿宋" w:eastAsia="仿宋" w:cs="仿宋"/>
          <w:color w:val="auto"/>
          <w:sz w:val="24"/>
          <w:highlight w:val="none"/>
        </w:rPr>
      </w:pPr>
      <w:r>
        <w:rPr>
          <w:rFonts w:hint="eastAsia" w:ascii="仿宋" w:hAnsi="仿宋" w:eastAsia="仿宋" w:cs="仿宋"/>
          <w:b/>
          <w:color w:val="auto"/>
          <w:sz w:val="24"/>
          <w:highlight w:val="none"/>
        </w:rPr>
        <w:t>六</w:t>
      </w:r>
      <w:r>
        <w:rPr>
          <w:rFonts w:hint="eastAsia" w:ascii="仿宋" w:hAnsi="仿宋" w:eastAsia="仿宋" w:cs="仿宋"/>
          <w:color w:val="auto"/>
          <w:sz w:val="24"/>
          <w:highlight w:val="none"/>
        </w:rPr>
        <w:t>、双方约定的其他工程质量保修事项：</w:t>
      </w:r>
    </w:p>
    <w:p w14:paraId="403561D5">
      <w:pPr>
        <w:spacing w:line="360" w:lineRule="auto"/>
        <w:ind w:firstLine="600"/>
        <w:jc w:val="left"/>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C2FEDEE">
      <w:pPr>
        <w:spacing w:line="360" w:lineRule="auto"/>
        <w:ind w:firstLine="456" w:firstLineChars="190"/>
        <w:rPr>
          <w:rFonts w:ascii="仿宋" w:hAnsi="仿宋" w:eastAsia="仿宋" w:cs="仿宋"/>
          <w:color w:val="auto"/>
          <w:sz w:val="24"/>
          <w:highlight w:val="none"/>
        </w:rPr>
      </w:pPr>
      <w:r>
        <w:rPr>
          <w:rFonts w:hint="eastAsia" w:ascii="仿宋" w:hAnsi="仿宋" w:eastAsia="仿宋" w:cs="仿宋"/>
          <w:color w:val="auto"/>
          <w:sz w:val="24"/>
          <w:highlight w:val="none"/>
        </w:rPr>
        <w:t>工程质量保修书由发包人、承包人在工程竣工验收前共同签署，作为施工合同附件，其有效期限至保修期满。</w:t>
      </w:r>
    </w:p>
    <w:p w14:paraId="3FFED7D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发包人（公章）：</w:t>
      </w:r>
      <w:r>
        <w:rPr>
          <w:rFonts w:hint="eastAsia" w:ascii="仿宋" w:hAnsi="仿宋" w:eastAsia="仿宋" w:cs="仿宋"/>
          <w:color w:val="auto"/>
          <w:sz w:val="24"/>
          <w:highlight w:val="none"/>
          <w:u w:val="single"/>
        </w:rPr>
        <w:t xml:space="preserve">        </w:t>
      </w:r>
      <w:r>
        <w:rPr>
          <w:rFonts w:hint="eastAsia" w:ascii="仿宋" w:hAnsi="仿宋" w:eastAsia="仿宋" w:cs="仿宋"/>
          <w:color w:val="auto"/>
          <w:sz w:val="24"/>
          <w:highlight w:val="none"/>
        </w:rPr>
        <w:t xml:space="preserve"> 承包人（公章）：</w:t>
      </w:r>
      <w:r>
        <w:rPr>
          <w:rFonts w:hint="eastAsia" w:ascii="仿宋" w:hAnsi="仿宋" w:eastAsia="仿宋" w:cs="仿宋"/>
          <w:color w:val="auto"/>
          <w:sz w:val="24"/>
          <w:highlight w:val="none"/>
          <w:u w:val="single"/>
        </w:rPr>
        <w:t xml:space="preserve">           </w:t>
      </w:r>
    </w:p>
    <w:p w14:paraId="71F8420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地  址：</w:t>
      </w:r>
      <w:r>
        <w:rPr>
          <w:rFonts w:hint="eastAsia" w:ascii="仿宋" w:hAnsi="仿宋" w:eastAsia="仿宋" w:cs="仿宋"/>
          <w:color w:val="auto"/>
          <w:sz w:val="24"/>
          <w:highlight w:val="none"/>
          <w:u w:val="single"/>
        </w:rPr>
        <w:t xml:space="preserve">       </w:t>
      </w:r>
    </w:p>
    <w:p w14:paraId="5C00323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w:t>
      </w:r>
      <w:r>
        <w:rPr>
          <w:rFonts w:hint="eastAsia" w:ascii="仿宋" w:hAnsi="仿宋" w:eastAsia="仿宋" w:cs="仿宋"/>
          <w:color w:val="auto"/>
          <w:sz w:val="24"/>
          <w:highlight w:val="none"/>
          <w:u w:val="single"/>
        </w:rPr>
        <w:t xml:space="preserve">       </w:t>
      </w:r>
    </w:p>
    <w:p w14:paraId="142D24F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委托代理人（签字）：</w:t>
      </w:r>
      <w:r>
        <w:rPr>
          <w:rFonts w:hint="eastAsia" w:ascii="仿宋" w:hAnsi="仿宋" w:eastAsia="仿宋" w:cs="仿宋"/>
          <w:color w:val="auto"/>
          <w:sz w:val="24"/>
          <w:highlight w:val="none"/>
          <w:u w:val="single"/>
        </w:rPr>
        <w:t xml:space="preserve">       </w:t>
      </w:r>
    </w:p>
    <w:p w14:paraId="03E3B86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  话：</w:t>
      </w:r>
      <w:r>
        <w:rPr>
          <w:rFonts w:hint="eastAsia" w:ascii="仿宋" w:hAnsi="仿宋" w:eastAsia="仿宋" w:cs="仿宋"/>
          <w:color w:val="auto"/>
          <w:sz w:val="24"/>
          <w:highlight w:val="none"/>
          <w:u w:val="single"/>
        </w:rPr>
        <w:t xml:space="preserve">     </w:t>
      </w:r>
    </w:p>
    <w:p w14:paraId="6864CAF2">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  真：</w:t>
      </w:r>
      <w:r>
        <w:rPr>
          <w:rFonts w:hint="eastAsia" w:ascii="仿宋" w:hAnsi="仿宋" w:eastAsia="仿宋" w:cs="仿宋"/>
          <w:color w:val="auto"/>
          <w:sz w:val="24"/>
          <w:highlight w:val="none"/>
          <w:u w:val="single"/>
        </w:rPr>
        <w:t xml:space="preserve">     </w:t>
      </w:r>
    </w:p>
    <w:p w14:paraId="2310EBB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开户银行：</w:t>
      </w:r>
      <w:r>
        <w:rPr>
          <w:rFonts w:hint="eastAsia" w:ascii="仿宋" w:hAnsi="仿宋" w:eastAsia="仿宋" w:cs="仿宋"/>
          <w:color w:val="auto"/>
          <w:sz w:val="24"/>
          <w:highlight w:val="none"/>
          <w:u w:val="single"/>
        </w:rPr>
        <w:t xml:space="preserve">   </w:t>
      </w:r>
    </w:p>
    <w:p w14:paraId="18D1F3B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账  号：</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账  号：</w:t>
      </w:r>
      <w:r>
        <w:rPr>
          <w:rFonts w:hint="eastAsia" w:ascii="仿宋" w:hAnsi="仿宋" w:eastAsia="仿宋" w:cs="仿宋"/>
          <w:color w:val="auto"/>
          <w:sz w:val="24"/>
          <w:highlight w:val="none"/>
          <w:u w:val="single"/>
        </w:rPr>
        <w:t xml:space="preserve">     </w:t>
      </w:r>
    </w:p>
    <w:p w14:paraId="5BDDD89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邮政编码：</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邮政编码：</w:t>
      </w:r>
      <w:r>
        <w:rPr>
          <w:rFonts w:hint="eastAsia" w:ascii="仿宋" w:hAnsi="仿宋" w:eastAsia="仿宋" w:cs="仿宋"/>
          <w:color w:val="auto"/>
          <w:sz w:val="24"/>
          <w:highlight w:val="none"/>
          <w:u w:val="single"/>
        </w:rPr>
        <w:t xml:space="preserve">   </w:t>
      </w:r>
    </w:p>
    <w:p w14:paraId="7680EA38">
      <w:pPr>
        <w:spacing w:line="360" w:lineRule="auto"/>
        <w:rPr>
          <w:rFonts w:ascii="仿宋" w:hAnsi="仿宋" w:eastAsia="仿宋" w:cs="仿宋"/>
          <w:b/>
          <w:color w:val="auto"/>
          <w:sz w:val="24"/>
          <w:highlight w:val="none"/>
        </w:rPr>
      </w:pPr>
    </w:p>
    <w:bookmarkEnd w:id="776"/>
    <w:bookmarkEnd w:id="777"/>
    <w:bookmarkEnd w:id="778"/>
    <w:p w14:paraId="1CC45179">
      <w:pPr>
        <w:rPr>
          <w:rFonts w:ascii="仿宋" w:hAnsi="仿宋" w:eastAsia="仿宋" w:cs="仿宋"/>
          <w:color w:val="auto"/>
          <w:highlight w:val="none"/>
        </w:rPr>
      </w:pPr>
    </w:p>
    <w:p w14:paraId="7BDABA40">
      <w:pPr>
        <w:rPr>
          <w:rFonts w:ascii="仿宋" w:hAnsi="仿宋" w:eastAsia="仿宋" w:cs="仿宋"/>
          <w:color w:val="auto"/>
          <w:highlight w:val="none"/>
        </w:rPr>
      </w:pPr>
    </w:p>
    <w:p w14:paraId="76EF8980">
      <w:pPr>
        <w:rPr>
          <w:rFonts w:ascii="仿宋" w:hAnsi="仿宋" w:eastAsia="仿宋" w:cs="仿宋"/>
          <w:color w:val="auto"/>
          <w:highlight w:val="none"/>
        </w:rPr>
      </w:pPr>
      <w:r>
        <w:rPr>
          <w:rFonts w:ascii="仿宋" w:hAnsi="仿宋" w:eastAsia="仿宋" w:cs="仿宋"/>
          <w:color w:val="auto"/>
          <w:highlight w:val="none"/>
        </w:rPr>
        <w:br w:type="page"/>
      </w:r>
    </w:p>
    <w:p w14:paraId="04F1EF81">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 xml:space="preserve"> </w:t>
      </w:r>
    </w:p>
    <w:p w14:paraId="021C1DDC">
      <w:pP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采购</w:t>
      </w:r>
      <w:r>
        <w:rPr>
          <w:rFonts w:hint="eastAsia" w:ascii="仿宋" w:hAnsi="仿宋" w:eastAsia="仿宋" w:cs="仿宋"/>
          <w:b w:val="0"/>
          <w:bCs w:val="0"/>
          <w:color w:val="auto"/>
          <w:sz w:val="28"/>
          <w:szCs w:val="28"/>
          <w:highlight w:val="none"/>
        </w:rPr>
        <w:t>人材料质量控制参考一览表</w:t>
      </w:r>
    </w:p>
    <w:p w14:paraId="6EC2D36E">
      <w:pPr>
        <w:rPr>
          <w:rFonts w:hint="eastAsia" w:ascii="Times New Roman" w:hAnsi="Times New Roman" w:eastAsia="宋体" w:cs="Times New Roman"/>
          <w:b w:val="0"/>
          <w:bCs w:val="0"/>
          <w:color w:val="auto"/>
          <w:sz w:val="30"/>
          <w:szCs w:val="30"/>
          <w:highlight w:val="none"/>
          <w:lang w:val="en-US" w:eastAsia="zh-CN"/>
        </w:rPr>
      </w:pPr>
      <w:r>
        <w:rPr>
          <w:rFonts w:hint="default" w:ascii="Times New Roman" w:hAnsi="Times New Roman" w:eastAsia="宋体" w:cs="Times New Roman"/>
          <w:b w:val="0"/>
          <w:bCs w:val="0"/>
          <w:color w:val="auto"/>
          <w:sz w:val="30"/>
          <w:szCs w:val="30"/>
          <w:highlight w:val="none"/>
        </w:rPr>
        <w:t xml:space="preserve"> </w:t>
      </w:r>
      <w:r>
        <w:rPr>
          <w:rFonts w:hint="eastAsia" w:ascii="Times New Roman" w:hAnsi="Times New Roman" w:eastAsia="宋体" w:cs="Times New Roman"/>
          <w:b w:val="0"/>
          <w:bCs w:val="0"/>
          <w:color w:val="auto"/>
          <w:sz w:val="30"/>
          <w:szCs w:val="30"/>
          <w:highlight w:val="none"/>
          <w:lang w:val="en-US" w:eastAsia="zh-CN"/>
        </w:rPr>
        <w:t xml:space="preserve">          </w:t>
      </w:r>
    </w:p>
    <w:p w14:paraId="25A8A6DC">
      <w:pPr>
        <w:ind w:firstLine="1928" w:firstLineChars="600"/>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rPr>
        <w:t xml:space="preserve">人材料质量控制参考一览表 </w:t>
      </w:r>
    </w:p>
    <w:tbl>
      <w:tblPr>
        <w:tblStyle w:val="29"/>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691"/>
        <w:gridCol w:w="5864"/>
      </w:tblGrid>
      <w:tr w14:paraId="45AE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D376192">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rPr>
              <w:t>序号</w:t>
            </w:r>
          </w:p>
        </w:tc>
        <w:tc>
          <w:tcPr>
            <w:tcW w:w="1691" w:type="dxa"/>
            <w:noWrap w:val="0"/>
            <w:vAlign w:val="top"/>
          </w:tcPr>
          <w:p w14:paraId="09FEEC32">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材料名称</w:t>
            </w:r>
          </w:p>
        </w:tc>
        <w:tc>
          <w:tcPr>
            <w:tcW w:w="5864" w:type="dxa"/>
            <w:noWrap w:val="0"/>
            <w:vAlign w:val="top"/>
          </w:tcPr>
          <w:p w14:paraId="10D67A2B">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2"/>
                <w:szCs w:val="22"/>
                <w:highlight w:val="none"/>
              </w:rPr>
              <w:t>参考</w:t>
            </w:r>
            <w:r>
              <w:rPr>
                <w:rFonts w:hint="eastAsia" w:ascii="仿宋" w:hAnsi="仿宋" w:eastAsia="仿宋" w:cs="仿宋"/>
                <w:b/>
                <w:bCs/>
                <w:color w:val="auto"/>
                <w:sz w:val="21"/>
                <w:szCs w:val="21"/>
                <w:highlight w:val="none"/>
              </w:rPr>
              <w:t>品牌</w:t>
            </w:r>
          </w:p>
        </w:tc>
      </w:tr>
      <w:tr w14:paraId="1BFE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9A8EA9B">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1</w:t>
            </w:r>
          </w:p>
        </w:tc>
        <w:tc>
          <w:tcPr>
            <w:tcW w:w="1691" w:type="dxa"/>
            <w:noWrap w:val="0"/>
            <w:vAlign w:val="top"/>
          </w:tcPr>
          <w:p w14:paraId="5E65B768">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乳胶漆</w:t>
            </w:r>
          </w:p>
        </w:tc>
        <w:tc>
          <w:tcPr>
            <w:tcW w:w="5864" w:type="dxa"/>
            <w:noWrap w:val="0"/>
            <w:vAlign w:val="top"/>
          </w:tcPr>
          <w:p w14:paraId="5177E7EE">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立邦、多乐士、三棵树、嘉宝莉、华润漆</w:t>
            </w:r>
          </w:p>
        </w:tc>
      </w:tr>
      <w:tr w14:paraId="7C7E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51C2D07">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2</w:t>
            </w:r>
          </w:p>
        </w:tc>
        <w:tc>
          <w:tcPr>
            <w:tcW w:w="1691" w:type="dxa"/>
            <w:noWrap w:val="0"/>
            <w:vAlign w:val="top"/>
          </w:tcPr>
          <w:p w14:paraId="77BC9BCC">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腻子</w:t>
            </w:r>
          </w:p>
        </w:tc>
        <w:tc>
          <w:tcPr>
            <w:tcW w:w="5864" w:type="dxa"/>
            <w:noWrap w:val="0"/>
            <w:vAlign w:val="top"/>
          </w:tcPr>
          <w:p w14:paraId="4D7C8C20">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嘉宝莉、三棵树、东方雨虹、立邦、德高</w:t>
            </w:r>
          </w:p>
        </w:tc>
      </w:tr>
      <w:tr w14:paraId="6DB5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0C97588">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3</w:t>
            </w:r>
          </w:p>
        </w:tc>
        <w:tc>
          <w:tcPr>
            <w:tcW w:w="1691" w:type="dxa"/>
            <w:noWrap w:val="0"/>
            <w:vAlign w:val="top"/>
          </w:tcPr>
          <w:p w14:paraId="45C51CE7">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防水卷材</w:t>
            </w:r>
          </w:p>
        </w:tc>
        <w:tc>
          <w:tcPr>
            <w:tcW w:w="5864" w:type="dxa"/>
            <w:noWrap w:val="0"/>
            <w:vAlign w:val="top"/>
          </w:tcPr>
          <w:p w14:paraId="08DD527E">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东方雨虹、科顺、卓宝、大禹防水、三棵树防水</w:t>
            </w:r>
          </w:p>
        </w:tc>
      </w:tr>
      <w:tr w14:paraId="4735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581B8CE">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4</w:t>
            </w:r>
          </w:p>
        </w:tc>
        <w:tc>
          <w:tcPr>
            <w:tcW w:w="1691" w:type="dxa"/>
            <w:noWrap w:val="0"/>
            <w:vAlign w:val="top"/>
          </w:tcPr>
          <w:p w14:paraId="31A20A3D">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防水涂料</w:t>
            </w:r>
          </w:p>
        </w:tc>
        <w:tc>
          <w:tcPr>
            <w:tcW w:w="5864" w:type="dxa"/>
            <w:noWrap w:val="0"/>
            <w:vAlign w:val="top"/>
          </w:tcPr>
          <w:p w14:paraId="201C22A8">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德高、东方雨虹、科顺、禹王、三棵树</w:t>
            </w:r>
          </w:p>
        </w:tc>
      </w:tr>
    </w:tbl>
    <w:p w14:paraId="35B8A0AA">
      <w:pPr>
        <w:ind w:firstLine="420" w:firstLineChars="200"/>
        <w:rPr>
          <w:rFonts w:hint="eastAsia" w:ascii="仿宋" w:hAnsi="仿宋" w:eastAsia="仿宋" w:cs="仿宋"/>
          <w:b w:val="0"/>
          <w:bCs w:val="0"/>
          <w:color w:val="auto"/>
          <w:sz w:val="21"/>
          <w:szCs w:val="21"/>
          <w:highlight w:val="none"/>
        </w:rPr>
      </w:pPr>
    </w:p>
    <w:p w14:paraId="2D01EAF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b w:val="0"/>
          <w:bCs w:val="0"/>
          <w:color w:val="auto"/>
          <w:sz w:val="21"/>
          <w:szCs w:val="21"/>
          <w:highlight w:val="none"/>
        </w:rPr>
        <w:t xml:space="preserve"> </w:t>
      </w:r>
      <w:r>
        <w:rPr>
          <w:rFonts w:hint="eastAsia" w:ascii="仿宋" w:hAnsi="仿宋" w:eastAsia="仿宋" w:cs="仿宋"/>
          <w:b/>
          <w:bCs/>
          <w:color w:val="auto"/>
          <w:sz w:val="22"/>
          <w:szCs w:val="22"/>
          <w:highlight w:val="none"/>
        </w:rPr>
        <w:t>注：</w:t>
      </w:r>
      <w:r>
        <w:rPr>
          <w:rFonts w:hint="eastAsia" w:ascii="仿宋" w:hAnsi="仿宋" w:eastAsia="仿宋" w:cs="仿宋"/>
          <w:b/>
          <w:bCs/>
          <w:color w:val="auto"/>
          <w:sz w:val="22"/>
          <w:szCs w:val="22"/>
          <w:highlight w:val="none"/>
          <w:lang w:val="en-US" w:eastAsia="zh-CN"/>
        </w:rPr>
        <w:t>采购</w:t>
      </w:r>
      <w:r>
        <w:rPr>
          <w:rFonts w:hint="eastAsia" w:ascii="仿宋" w:hAnsi="仿宋" w:eastAsia="仿宋" w:cs="仿宋"/>
          <w:b/>
          <w:bCs/>
          <w:color w:val="auto"/>
          <w:sz w:val="22"/>
          <w:szCs w:val="22"/>
          <w:highlight w:val="none"/>
        </w:rPr>
        <w:t>人主要材料质量控制参考一览表中材料的规格、型号和质量等级指标，应符合设计图纸 和国家现行规范标准要求。中标人可选用其中一种投标报价或选等同于或优于质控一缆表中的材料报价，但中标后不得随意更换其它品牌，如业主同意只能更换等于或优于所投品牌产品；如果注册地在淮南市行政区域内的厂家生产的产品符合相关质量标准视同为参考品牌。</w:t>
      </w:r>
    </w:p>
    <w:p w14:paraId="6239E75F">
      <w:pPr>
        <w:rPr>
          <w:rFonts w:ascii="仿宋" w:hAnsi="仿宋" w:eastAsia="仿宋" w:cs="仿宋"/>
          <w:color w:val="auto"/>
          <w:highlight w:val="none"/>
        </w:rPr>
      </w:pPr>
      <w:r>
        <w:rPr>
          <w:rFonts w:hint="eastAsia" w:ascii="仿宋" w:hAnsi="仿宋" w:eastAsia="仿宋" w:cs="仿宋"/>
          <w:color w:val="auto"/>
          <w:highlight w:val="none"/>
        </w:rPr>
        <w:br w:type="page"/>
      </w:r>
    </w:p>
    <w:p w14:paraId="226C7F3C">
      <w:pPr>
        <w:pStyle w:val="2"/>
        <w:jc w:val="center"/>
        <w:rPr>
          <w:rFonts w:hint="default" w:ascii="Arial Unicode MS" w:hAnsi="仿宋" w:eastAsia="Arial Unicode MS" w:cs="仿宋"/>
          <w:b w:val="0"/>
          <w:color w:val="auto"/>
          <w:sz w:val="44"/>
          <w:szCs w:val="44"/>
          <w:highlight w:val="none"/>
        </w:rPr>
      </w:pPr>
      <w:bookmarkStart w:id="1302" w:name="_Toc144969124"/>
      <w:r>
        <w:rPr>
          <w:rFonts w:ascii="Arial Unicode MS" w:hAnsi="仿宋" w:eastAsia="Arial Unicode MS" w:cs="仿宋"/>
          <w:b w:val="0"/>
          <w:color w:val="auto"/>
          <w:sz w:val="44"/>
          <w:szCs w:val="44"/>
          <w:highlight w:val="none"/>
        </w:rPr>
        <w:t>第七章 磋商响应文件格式</w:t>
      </w:r>
      <w:bookmarkEnd w:id="1302"/>
    </w:p>
    <w:p w14:paraId="13D794E7">
      <w:pPr>
        <w:jc w:val="left"/>
        <w:rPr>
          <w:color w:val="auto"/>
          <w:sz w:val="20"/>
          <w:szCs w:val="22"/>
          <w:highlight w:val="none"/>
        </w:rPr>
      </w:pPr>
      <w:r>
        <w:rPr>
          <w:rFonts w:ascii="Calibri" w:hAnsi="Calibri" w:eastAsia="Calibri" w:cs="Times New Roman"/>
          <w:color w:val="auto"/>
          <w:kern w:val="0"/>
          <w:sz w:val="20"/>
          <w:szCs w:val="22"/>
          <w:highlight w:val="none"/>
          <w:lang w:bidi="ar"/>
        </w:rPr>
        <w:t xml:space="preserve"> </w:t>
      </w:r>
    </w:p>
    <w:p w14:paraId="1F771BD8">
      <w:pPr>
        <w:pStyle w:val="8"/>
        <w:adjustRightInd w:val="0"/>
        <w:snapToGrid w:val="0"/>
        <w:spacing w:before="48" w:beforeLines="20" w:after="48" w:afterLines="20" w:line="360" w:lineRule="auto"/>
        <w:ind w:right="-4" w:rightChars="-2"/>
        <w:jc w:val="right"/>
        <w:rPr>
          <w:rFonts w:hint="eastAsia" w:ascii="宋体" w:hAnsi="宋体" w:eastAsia="宋体" w:cs="宋体"/>
          <w:b/>
          <w:bCs/>
          <w:color w:val="auto"/>
          <w:sz w:val="28"/>
          <w:szCs w:val="40"/>
          <w:highlight w:val="none"/>
          <w:lang w:val="en-US" w:eastAsia="zh-CN"/>
        </w:rPr>
      </w:pPr>
      <w:r>
        <w:rPr>
          <w:rFonts w:hint="eastAsia" w:ascii="宋体" w:hAnsi="宋体" w:eastAsia="宋体" w:cs="宋体"/>
          <w:b/>
          <w:bCs/>
          <w:color w:val="auto"/>
          <w:sz w:val="28"/>
          <w:szCs w:val="40"/>
          <w:highlight w:val="none"/>
          <w:lang w:val="en-US" w:eastAsia="zh-CN"/>
        </w:rPr>
        <w:t>正/副本</w:t>
      </w:r>
    </w:p>
    <w:p w14:paraId="58A434B6">
      <w:pPr>
        <w:bidi w:val="0"/>
        <w:rPr>
          <w:rFonts w:hint="eastAsia"/>
          <w:color w:val="auto"/>
          <w:highlight w:val="none"/>
        </w:rPr>
      </w:pPr>
    </w:p>
    <w:p w14:paraId="37A5AB4D">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益民、朝阳小区公租房装修改造外墙及屋面防水工程</w:t>
      </w:r>
    </w:p>
    <w:p w14:paraId="0CD3A31A">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响 应 文 件</w:t>
      </w:r>
    </w:p>
    <w:p w14:paraId="4E042CD7">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项目编号：xxxx</w:t>
      </w:r>
    </w:p>
    <w:p w14:paraId="52A438D6">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p>
    <w:p w14:paraId="19E89800">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1"/>
          <w:szCs w:val="24"/>
          <w:highlight w:val="none"/>
        </w:rPr>
      </w:pPr>
    </w:p>
    <w:p w14:paraId="7726BFA4">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0D0287B7">
      <w:pPr>
        <w:rPr>
          <w:rFonts w:hint="eastAsia" w:ascii="宋体" w:hAnsi="宋体" w:eastAsia="宋体" w:cs="宋体"/>
          <w:color w:val="auto"/>
          <w:highlight w:val="none"/>
        </w:rPr>
      </w:pPr>
    </w:p>
    <w:p w14:paraId="3D765111">
      <w:pPr>
        <w:pStyle w:val="44"/>
        <w:rPr>
          <w:rFonts w:hint="eastAsia" w:ascii="宋体" w:hAnsi="宋体" w:eastAsia="宋体" w:cs="宋体"/>
          <w:color w:val="auto"/>
          <w:highlight w:val="none"/>
        </w:rPr>
      </w:pPr>
    </w:p>
    <w:p w14:paraId="319C10FD">
      <w:pPr>
        <w:rPr>
          <w:rFonts w:hint="eastAsia" w:ascii="宋体" w:hAnsi="宋体" w:eastAsia="宋体" w:cs="宋体"/>
          <w:color w:val="auto"/>
          <w:highlight w:val="none"/>
        </w:rPr>
      </w:pPr>
    </w:p>
    <w:p w14:paraId="4B1AD398">
      <w:pPr>
        <w:rPr>
          <w:rFonts w:hint="eastAsia" w:ascii="宋体" w:hAnsi="宋体" w:eastAsia="宋体" w:cs="宋体"/>
          <w:color w:val="auto"/>
          <w:highlight w:val="none"/>
        </w:rPr>
      </w:pPr>
    </w:p>
    <w:p w14:paraId="76439783">
      <w:pPr>
        <w:pStyle w:val="8"/>
        <w:adjustRightInd w:val="0"/>
        <w:snapToGrid w:val="0"/>
        <w:spacing w:before="48" w:beforeLines="20" w:after="48" w:afterLines="20" w:line="360" w:lineRule="auto"/>
        <w:ind w:right="-4" w:rightChars="-2"/>
        <w:jc w:val="both"/>
        <w:rPr>
          <w:rFonts w:hint="eastAsia" w:ascii="宋体" w:hAnsi="宋体" w:eastAsia="宋体" w:cs="宋体"/>
          <w:color w:val="auto"/>
          <w:highlight w:val="none"/>
        </w:rPr>
      </w:pPr>
    </w:p>
    <w:p w14:paraId="255A676B">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4116B288">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14:paraId="57C88D73">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响应文件内容：</w:t>
      </w:r>
      <w:r>
        <w:rPr>
          <w:rFonts w:hint="eastAsia" w:ascii="宋体" w:hAnsi="宋体" w:eastAsia="宋体" w:cs="宋体"/>
          <w:b/>
          <w:bCs/>
          <w:color w:val="auto"/>
          <w:sz w:val="28"/>
          <w:szCs w:val="28"/>
          <w:highlight w:val="none"/>
          <w:u w:val="single"/>
        </w:rPr>
        <w:tab/>
      </w:r>
      <w:r>
        <w:rPr>
          <w:rFonts w:hint="eastAsia" w:ascii="宋体" w:hAnsi="宋体" w:eastAsia="宋体" w:cs="宋体"/>
          <w:b/>
          <w:bCs/>
          <w:color w:val="auto"/>
          <w:sz w:val="28"/>
          <w:szCs w:val="28"/>
          <w:highlight w:val="none"/>
          <w:u w:val="single"/>
        </w:rPr>
        <w:t xml:space="preserve">         商务标             </w:t>
      </w:r>
      <w:r>
        <w:rPr>
          <w:rFonts w:hint="eastAsia" w:ascii="宋体" w:hAnsi="宋体" w:eastAsia="宋体" w:cs="宋体"/>
          <w:b/>
          <w:bCs/>
          <w:color w:val="auto"/>
          <w:sz w:val="28"/>
          <w:szCs w:val="28"/>
          <w:highlight w:val="none"/>
          <w:u w:val="single"/>
        </w:rPr>
        <w:tab/>
      </w:r>
    </w:p>
    <w:p w14:paraId="0B431369">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供 应 商：</w:t>
      </w:r>
      <w:r>
        <w:rPr>
          <w:rFonts w:hint="eastAsia" w:ascii="宋体" w:hAnsi="宋体" w:eastAsia="宋体" w:cs="宋体"/>
          <w:b/>
          <w:bCs/>
          <w:color w:val="auto"/>
          <w:sz w:val="28"/>
          <w:szCs w:val="28"/>
          <w:highlight w:val="none"/>
          <w:u w:val="single"/>
        </w:rPr>
        <w:t xml:space="preserve">            （盖章）                </w:t>
      </w:r>
    </w:p>
    <w:p w14:paraId="5E52B566">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（签字或盖章）   </w:t>
      </w:r>
    </w:p>
    <w:p w14:paraId="6D912A58">
      <w:pPr>
        <w:adjustRightInd w:val="0"/>
        <w:snapToGrid w:val="0"/>
        <w:spacing w:before="48" w:beforeLines="20" w:after="48" w:afterLines="20" w:line="360" w:lineRule="auto"/>
        <w:ind w:right="-4" w:rightChars="-2" w:firstLine="1124" w:firstLineChars="400"/>
        <w:rPr>
          <w:rFonts w:hint="eastAsia" w:ascii="宋体" w:hAnsi="宋体" w:eastAsia="宋体" w:cs="宋体"/>
          <w:b/>
          <w:bCs/>
          <w:color w:val="auto"/>
          <w:sz w:val="28"/>
          <w:szCs w:val="28"/>
          <w:highlight w:val="none"/>
          <w:u w:val="singl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4E250E04">
      <w:pPr>
        <w:pStyle w:val="4"/>
        <w:widowControl/>
        <w:autoSpaceDE w:val="0"/>
        <w:autoSpaceDN w:val="0"/>
        <w:spacing w:line="360" w:lineRule="auto"/>
        <w:ind w:left="0"/>
        <w:jc w:val="center"/>
        <w:rPr>
          <w:rFonts w:hint="eastAsia" w:ascii="仿宋" w:hAnsi="仿宋" w:eastAsia="仿宋" w:cs="仿宋"/>
          <w:color w:val="auto"/>
          <w:sz w:val="32"/>
          <w:szCs w:val="32"/>
          <w:highlight w:val="none"/>
          <w:lang w:val="en-US"/>
        </w:rPr>
      </w:pPr>
    </w:p>
    <w:p w14:paraId="1A3E44BB">
      <w:pPr>
        <w:rPr>
          <w:rFonts w:hint="eastAsia" w:ascii="仿宋" w:hAnsi="仿宋" w:eastAsia="仿宋" w:cs="仿宋"/>
          <w:color w:val="auto"/>
          <w:sz w:val="32"/>
          <w:szCs w:val="32"/>
          <w:highlight w:val="none"/>
          <w:lang w:val="en-US"/>
        </w:rPr>
      </w:pPr>
    </w:p>
    <w:p w14:paraId="11A03207">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1、投标函</w:t>
      </w:r>
    </w:p>
    <w:p w14:paraId="60779715">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致：（采购人） </w:t>
      </w:r>
    </w:p>
    <w:p w14:paraId="28865440">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 经现场踏勘和研究</w:t>
      </w:r>
      <w:r>
        <w:rPr>
          <w:rFonts w:hint="eastAsia" w:ascii="仿宋" w:hAnsi="仿宋" w:eastAsia="仿宋" w:cs="仿宋"/>
          <w:bCs/>
          <w:color w:val="auto"/>
          <w:sz w:val="28"/>
          <w:szCs w:val="28"/>
          <w:highlight w:val="none"/>
          <w:u w:val="single"/>
        </w:rPr>
        <w:t xml:space="preserve">      （项目名称）</w:t>
      </w:r>
      <w:r>
        <w:rPr>
          <w:rFonts w:hint="eastAsia" w:ascii="仿宋" w:hAnsi="仿宋" w:eastAsia="仿宋" w:cs="仿宋"/>
          <w:bCs/>
          <w:color w:val="auto"/>
          <w:sz w:val="28"/>
          <w:szCs w:val="28"/>
          <w:highlight w:val="none"/>
        </w:rPr>
        <w:t>竞争性磋商文件的全部内容后，我方就上述工程及相关服务进行投标，其中投标报价为人民币（大写）</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元（小写），工期为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日。质量标准为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。缺陷责任期为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w:t>
      </w:r>
    </w:p>
    <w:p w14:paraId="3E67BD20">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 如果我方中标，我方保证在中标通知书规定的期限内与你方签订合同协议书。</w:t>
      </w:r>
    </w:p>
    <w:p w14:paraId="6532A967">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 我方委派</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担任本项目负责人，直接参与全过程服务。 </w:t>
      </w:r>
    </w:p>
    <w:p w14:paraId="54328E38">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 如果我方中标，我方将按照规定提交履约担保。</w:t>
      </w:r>
    </w:p>
    <w:p w14:paraId="5EFFAB71">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 投标有效期为自投标截止之日起</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日历天；我方承诺完全响应竞争性磋商文件及补充、澄清、修改文件中的全部内容。</w:t>
      </w:r>
    </w:p>
    <w:p w14:paraId="676CF22F">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 投标内容</w:t>
      </w:r>
      <w:r>
        <w:rPr>
          <w:rFonts w:hint="eastAsia" w:ascii="仿宋" w:hAnsi="仿宋" w:eastAsia="仿宋" w:cs="仿宋"/>
          <w:bCs/>
          <w:color w:val="auto"/>
          <w:sz w:val="28"/>
          <w:szCs w:val="28"/>
          <w:highlight w:val="none"/>
          <w:u w:val="single"/>
        </w:rPr>
        <w:t>响应</w:t>
      </w:r>
      <w:r>
        <w:rPr>
          <w:rFonts w:hint="eastAsia" w:ascii="仿宋" w:hAnsi="仿宋" w:eastAsia="仿宋" w:cs="仿宋"/>
          <w:bCs/>
          <w:color w:val="auto"/>
          <w:sz w:val="28"/>
          <w:szCs w:val="28"/>
          <w:highlight w:val="none"/>
        </w:rPr>
        <w:t>采购文件要求。</w:t>
      </w:r>
    </w:p>
    <w:p w14:paraId="07620C90">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 我方愿意提供采购人可能另外要求的、与投标有关的文件资料，并保证我方已提供和将要提供的文件是真实的、准确的。</w:t>
      </w:r>
    </w:p>
    <w:p w14:paraId="10BC10BF">
      <w:pPr>
        <w:spacing w:line="360" w:lineRule="auto"/>
        <w:ind w:firstLine="280" w:firstLineChars="1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8. 我方完全理解你们不一定将合同授予最低报价的供应商。</w:t>
      </w:r>
    </w:p>
    <w:p w14:paraId="79B6FEF7">
      <w:pPr>
        <w:rPr>
          <w:rFonts w:ascii="仿宋" w:hAnsi="仿宋" w:eastAsia="仿宋" w:cs="仿宋"/>
          <w:color w:val="auto"/>
          <w:sz w:val="28"/>
          <w:szCs w:val="28"/>
          <w:highlight w:val="none"/>
        </w:rPr>
      </w:pPr>
    </w:p>
    <w:p w14:paraId="5AA4E62E">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    话：</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099C3FFB">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传    真：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_                            </w:t>
      </w:r>
    </w:p>
    <w:p w14:paraId="5C56AAE2">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供应商公章：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52C03FF9">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日    期：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_  </w:t>
      </w:r>
    </w:p>
    <w:p w14:paraId="1A2106F9">
      <w:pPr>
        <w:spacing w:line="360" w:lineRule="auto"/>
        <w:ind w:firstLine="420"/>
        <w:rPr>
          <w:rFonts w:ascii="仿宋" w:hAnsi="仿宋" w:eastAsia="仿宋" w:cs="仿宋"/>
          <w:bCs/>
          <w:color w:val="auto"/>
          <w:sz w:val="28"/>
          <w:szCs w:val="28"/>
          <w:highlight w:val="none"/>
        </w:rPr>
      </w:pPr>
    </w:p>
    <w:p w14:paraId="14FA7E12">
      <w:pPr>
        <w:rPr>
          <w:rFonts w:ascii="仿宋" w:hAnsi="仿宋" w:eastAsia="仿宋" w:cs="仿宋"/>
          <w:color w:val="auto"/>
          <w:sz w:val="24"/>
          <w:highlight w:val="none"/>
        </w:rPr>
      </w:pPr>
    </w:p>
    <w:p w14:paraId="543E4739">
      <w:pPr>
        <w:rPr>
          <w:rFonts w:ascii="仿宋" w:hAnsi="仿宋" w:eastAsia="仿宋" w:cs="仿宋"/>
          <w:color w:val="auto"/>
          <w:sz w:val="28"/>
          <w:szCs w:val="28"/>
          <w:highlight w:val="none"/>
        </w:rPr>
      </w:pPr>
    </w:p>
    <w:p w14:paraId="544F82F2">
      <w:pPr>
        <w:pStyle w:val="4"/>
        <w:widowControl/>
        <w:autoSpaceDE w:val="0"/>
        <w:autoSpaceDN w:val="0"/>
        <w:spacing w:line="360" w:lineRule="auto"/>
        <w:ind w:left="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rPr>
        <w:t>2、</w:t>
      </w:r>
      <w:r>
        <w:rPr>
          <w:rFonts w:hint="eastAsia" w:ascii="仿宋" w:hAnsi="仿宋" w:eastAsia="仿宋" w:cs="仿宋"/>
          <w:color w:val="auto"/>
          <w:sz w:val="32"/>
          <w:szCs w:val="32"/>
          <w:highlight w:val="none"/>
        </w:rPr>
        <w:t>开标一览表</w:t>
      </w:r>
    </w:p>
    <w:p w14:paraId="3D8FA464">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采购项目编号：</w:t>
      </w:r>
      <w:r>
        <w:rPr>
          <w:rStyle w:val="31"/>
          <w:rFonts w:hint="eastAsia" w:ascii="仿宋" w:hAnsi="仿宋" w:eastAsia="仿宋" w:cs="仿宋"/>
          <w:color w:val="auto"/>
          <w:sz w:val="28"/>
          <w:szCs w:val="28"/>
          <w:highlight w:val="none"/>
          <w:u w:val="single"/>
        </w:rPr>
        <w:t xml:space="preserve">         </w:t>
      </w:r>
    </w:p>
    <w:p w14:paraId="4BBA0899">
      <w:pPr>
        <w:pStyle w:val="25"/>
        <w:widowControl/>
        <w:wordWrap w:val="0"/>
        <w:autoSpaceDE w:val="0"/>
        <w:autoSpaceDN w:val="0"/>
        <w:spacing w:line="480" w:lineRule="atLeast"/>
        <w:rPr>
          <w:rStyle w:val="31"/>
          <w:color w:val="auto"/>
          <w:highlight w:val="none"/>
          <w:u w:val="single"/>
        </w:rPr>
      </w:pPr>
      <w:r>
        <w:rPr>
          <w:rFonts w:hint="eastAsia" w:ascii="仿宋" w:hAnsi="仿宋" w:eastAsia="仿宋" w:cs="仿宋"/>
          <w:color w:val="auto"/>
          <w:sz w:val="28"/>
          <w:szCs w:val="28"/>
          <w:highlight w:val="none"/>
        </w:rPr>
        <w:t>采购项目名称：</w:t>
      </w:r>
      <w:r>
        <w:rPr>
          <w:rStyle w:val="31"/>
          <w:rFonts w:hint="eastAsia" w:ascii="仿宋" w:hAnsi="仿宋" w:eastAsia="仿宋" w:cs="仿宋"/>
          <w:color w:val="auto"/>
          <w:sz w:val="28"/>
          <w:szCs w:val="28"/>
          <w:highlight w:val="none"/>
          <w:u w:val="single"/>
        </w:rPr>
        <w:t xml:space="preserve">         </w:t>
      </w:r>
    </w:p>
    <w:p w14:paraId="45C72CFD">
      <w:pPr>
        <w:pStyle w:val="25"/>
        <w:widowControl/>
        <w:wordWrap w:val="0"/>
        <w:autoSpaceDE w:val="0"/>
        <w:autoSpaceDN w:val="0"/>
        <w:spacing w:line="480" w:lineRule="atLeast"/>
        <w:rPr>
          <w:rStyle w:val="31"/>
          <w:rFonts w:ascii="仿宋" w:hAnsi="仿宋" w:eastAsia="仿宋" w:cs="仿宋"/>
          <w:color w:val="auto"/>
          <w:sz w:val="28"/>
          <w:szCs w:val="28"/>
          <w:highlight w:val="none"/>
          <w:u w:val="single"/>
        </w:rPr>
      </w:pPr>
      <w:r>
        <w:rPr>
          <w:rStyle w:val="31"/>
          <w:rFonts w:hint="eastAsia" w:ascii="仿宋" w:hAnsi="仿宋" w:eastAsia="仿宋" w:cs="仿宋"/>
          <w:bCs/>
          <w:color w:val="auto"/>
          <w:sz w:val="28"/>
          <w:szCs w:val="28"/>
          <w:highlight w:val="none"/>
        </w:rPr>
        <w:t>供应商名称：</w:t>
      </w:r>
      <w:r>
        <w:rPr>
          <w:rStyle w:val="31"/>
          <w:rFonts w:hint="eastAsia" w:ascii="仿宋" w:hAnsi="仿宋" w:eastAsia="仿宋" w:cs="仿宋"/>
          <w:color w:val="auto"/>
          <w:sz w:val="28"/>
          <w:szCs w:val="28"/>
          <w:highlight w:val="none"/>
          <w:u w:val="single"/>
        </w:rPr>
        <w:t xml:space="preserve">          </w:t>
      </w:r>
    </w:p>
    <w:tbl>
      <w:tblPr>
        <w:tblStyle w:val="28"/>
        <w:tblpPr w:leftFromText="180" w:rightFromText="180" w:vertAnchor="text" w:horzAnchor="page" w:tblpX="924" w:tblpY="243"/>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48"/>
        <w:gridCol w:w="7132"/>
      </w:tblGrid>
      <w:tr w14:paraId="6BDE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6806111B">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192740A0">
            <w:pPr>
              <w:pStyle w:val="25"/>
              <w:widowControl/>
              <w:wordWrap w:val="0"/>
              <w:spacing w:line="360" w:lineRule="auto"/>
              <w:rPr>
                <w:rFonts w:ascii="仿宋" w:hAnsi="仿宋" w:eastAsia="仿宋" w:cs="仿宋"/>
                <w:color w:val="auto"/>
                <w:sz w:val="28"/>
                <w:szCs w:val="28"/>
                <w:highlight w:val="none"/>
              </w:rPr>
            </w:pPr>
            <w:r>
              <w:rPr>
                <w:rStyle w:val="31"/>
                <w:rFonts w:hint="eastAsia" w:ascii="仿宋" w:hAnsi="仿宋" w:eastAsia="仿宋" w:cs="仿宋"/>
                <w:color w:val="auto"/>
                <w:sz w:val="28"/>
                <w:szCs w:val="28"/>
                <w:highlight w:val="none"/>
                <w:u w:val="single"/>
              </w:rPr>
              <w:t xml:space="preserve">                    </w:t>
            </w:r>
          </w:p>
        </w:tc>
      </w:tr>
      <w:tr w14:paraId="68D0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35CBED55">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报价 </w:t>
            </w:r>
          </w:p>
        </w:tc>
        <w:tc>
          <w:tcPr>
            <w:tcW w:w="7132" w:type="dxa"/>
            <w:tcBorders>
              <w:top w:val="single" w:color="auto" w:sz="4" w:space="0"/>
              <w:left w:val="single" w:color="auto" w:sz="4" w:space="0"/>
              <w:bottom w:val="single" w:color="auto" w:sz="4" w:space="0"/>
              <w:right w:val="single" w:color="auto" w:sz="4" w:space="0"/>
            </w:tcBorders>
            <w:vAlign w:val="center"/>
          </w:tcPr>
          <w:p w14:paraId="71AD893B">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人民币小写（元）：</w:t>
            </w:r>
            <w:r>
              <w:rPr>
                <w:rStyle w:val="31"/>
                <w:rFonts w:hint="eastAsia" w:ascii="仿宋" w:hAnsi="仿宋" w:eastAsia="仿宋" w:cs="仿宋"/>
                <w:color w:val="auto"/>
                <w:sz w:val="28"/>
                <w:szCs w:val="28"/>
                <w:highlight w:val="none"/>
                <w:u w:val="single"/>
              </w:rPr>
              <w:t xml:space="preserve">      </w:t>
            </w:r>
          </w:p>
          <w:p w14:paraId="5035C899">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人民币大写（元）：</w:t>
            </w:r>
            <w:r>
              <w:rPr>
                <w:rStyle w:val="31"/>
                <w:rFonts w:hint="eastAsia" w:ascii="仿宋" w:hAnsi="仿宋" w:eastAsia="仿宋" w:cs="仿宋"/>
                <w:color w:val="auto"/>
                <w:sz w:val="28"/>
                <w:szCs w:val="28"/>
                <w:highlight w:val="none"/>
                <w:u w:val="single"/>
              </w:rPr>
              <w:t xml:space="preserve">      </w:t>
            </w:r>
          </w:p>
        </w:tc>
      </w:tr>
      <w:tr w14:paraId="47BF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302DF8D8">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工期 </w:t>
            </w:r>
          </w:p>
        </w:tc>
        <w:tc>
          <w:tcPr>
            <w:tcW w:w="7132" w:type="dxa"/>
            <w:tcBorders>
              <w:top w:val="single" w:color="auto" w:sz="4" w:space="0"/>
              <w:left w:val="single" w:color="auto" w:sz="4" w:space="0"/>
              <w:bottom w:val="single" w:color="auto" w:sz="4" w:space="0"/>
              <w:right w:val="single" w:color="auto" w:sz="4" w:space="0"/>
            </w:tcBorders>
            <w:vAlign w:val="center"/>
          </w:tcPr>
          <w:p w14:paraId="0BEF7E64">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合同签订之日起</w:t>
            </w:r>
            <w:r>
              <w:rPr>
                <w:rStyle w:val="31"/>
                <w:rFonts w:hint="eastAsia" w:ascii="仿宋" w:hAnsi="仿宋" w:eastAsia="仿宋" w:cs="仿宋"/>
                <w:color w:val="auto"/>
                <w:sz w:val="28"/>
                <w:szCs w:val="28"/>
                <w:highlight w:val="none"/>
                <w:u w:val="single"/>
              </w:rPr>
              <w:t xml:space="preserve">      </w:t>
            </w:r>
            <w:r>
              <w:rPr>
                <w:rStyle w:val="31"/>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内施工完毕</w:t>
            </w:r>
          </w:p>
        </w:tc>
      </w:tr>
      <w:tr w14:paraId="3F05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04EFEBEB">
            <w:pPr>
              <w:widowControl/>
              <w:wordWrap w:val="0"/>
              <w:spacing w:line="360" w:lineRule="auto"/>
              <w:jc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备注 </w:t>
            </w:r>
          </w:p>
        </w:tc>
        <w:tc>
          <w:tcPr>
            <w:tcW w:w="7132" w:type="dxa"/>
            <w:tcBorders>
              <w:top w:val="single" w:color="auto" w:sz="4" w:space="0"/>
              <w:left w:val="single" w:color="auto" w:sz="4" w:space="0"/>
              <w:bottom w:val="single" w:color="auto" w:sz="4" w:space="0"/>
              <w:right w:val="single" w:color="auto" w:sz="4" w:space="0"/>
            </w:tcBorders>
            <w:vAlign w:val="center"/>
          </w:tcPr>
          <w:p w14:paraId="33A0C26C">
            <w:pPr>
              <w:pStyle w:val="25"/>
              <w:widowControl/>
              <w:wordWrap w:val="0"/>
              <w:spacing w:line="360" w:lineRule="auto"/>
              <w:rPr>
                <w:rFonts w:ascii="仿宋" w:hAnsi="仿宋" w:eastAsia="仿宋" w:cs="仿宋"/>
                <w:color w:val="auto"/>
                <w:sz w:val="28"/>
                <w:szCs w:val="28"/>
                <w:highlight w:val="none"/>
              </w:rPr>
            </w:pPr>
          </w:p>
        </w:tc>
      </w:tr>
    </w:tbl>
    <w:p w14:paraId="4924CA46">
      <w:pPr>
        <w:pStyle w:val="25"/>
        <w:widowControl/>
        <w:wordWrap w:val="0"/>
        <w:autoSpaceDE w:val="0"/>
        <w:autoSpaceDN w:val="0"/>
        <w:spacing w:line="480" w:lineRule="atLeast"/>
        <w:rPr>
          <w:rFonts w:hint="eastAsia" w:ascii="仿宋" w:hAnsi="仿宋" w:eastAsia="仿宋" w:cs="仿宋"/>
          <w:color w:val="auto"/>
          <w:sz w:val="28"/>
          <w:szCs w:val="28"/>
          <w:highlight w:val="none"/>
        </w:rPr>
      </w:pPr>
    </w:p>
    <w:p w14:paraId="35CF3DEF">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法人代表（</w:t>
      </w:r>
      <w:r>
        <w:rPr>
          <w:rFonts w:hint="eastAsia" w:ascii="仿宋" w:hAnsi="仿宋" w:eastAsia="仿宋" w:cs="仿宋"/>
          <w:color w:val="auto"/>
          <w:sz w:val="28"/>
          <w:szCs w:val="28"/>
          <w:highlight w:val="none"/>
          <w:lang w:val="en-US" w:eastAsia="zh-CN"/>
        </w:rPr>
        <w:t>签章或盖章</w:t>
      </w:r>
      <w:r>
        <w:rPr>
          <w:rFonts w:hint="eastAsia" w:ascii="仿宋" w:hAnsi="仿宋" w:eastAsia="仿宋" w:cs="仿宋"/>
          <w:color w:val="auto"/>
          <w:sz w:val="28"/>
          <w:szCs w:val="28"/>
          <w:highlight w:val="none"/>
        </w:rPr>
        <w:t>）：</w:t>
      </w:r>
    </w:p>
    <w:p w14:paraId="3DE9F5F2">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p>
    <w:p w14:paraId="72FCE443">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53977115">
      <w:pPr>
        <w:widowControl/>
        <w:spacing w:line="480" w:lineRule="atLeas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 </w:t>
      </w:r>
    </w:p>
    <w:p w14:paraId="1A37EA81">
      <w:pPr>
        <w:rPr>
          <w:rFonts w:ascii="仿宋" w:hAnsi="仿宋" w:eastAsia="仿宋" w:cs="仿宋"/>
          <w:color w:val="auto"/>
          <w:sz w:val="28"/>
          <w:szCs w:val="28"/>
          <w:highlight w:val="none"/>
        </w:rPr>
      </w:pPr>
    </w:p>
    <w:p w14:paraId="2D6AACB1">
      <w:pPr>
        <w:rPr>
          <w:rFonts w:ascii="仿宋" w:hAnsi="仿宋" w:eastAsia="仿宋" w:cs="仿宋"/>
          <w:color w:val="auto"/>
          <w:sz w:val="28"/>
          <w:szCs w:val="28"/>
          <w:highlight w:val="none"/>
        </w:rPr>
      </w:pPr>
    </w:p>
    <w:p w14:paraId="77B098DE">
      <w:pPr>
        <w:pStyle w:val="2"/>
        <w:rPr>
          <w:rFonts w:hint="default" w:ascii="仿宋" w:hAnsi="仿宋" w:eastAsia="仿宋" w:cs="仿宋"/>
          <w:color w:val="auto"/>
          <w:highlight w:val="none"/>
        </w:rPr>
      </w:pPr>
    </w:p>
    <w:p w14:paraId="2AC4AB15">
      <w:pPr>
        <w:pStyle w:val="4"/>
        <w:widowControl/>
        <w:spacing w:line="500" w:lineRule="exact"/>
        <w:jc w:val="center"/>
        <w:rPr>
          <w:rFonts w:ascii="仿宋" w:hAnsi="仿宋" w:eastAsia="仿宋" w:cs="仿宋"/>
          <w:b w:val="0"/>
          <w:color w:val="auto"/>
          <w:sz w:val="28"/>
          <w:szCs w:val="28"/>
          <w:highlight w:val="none"/>
        </w:rPr>
      </w:pPr>
      <w:r>
        <w:rPr>
          <w:rFonts w:hint="eastAsia" w:ascii="仿宋" w:hAnsi="仿宋" w:eastAsia="仿宋" w:cs="仿宋"/>
          <w:b w:val="0"/>
          <w:bCs w:val="0"/>
          <w:color w:val="auto"/>
          <w:sz w:val="28"/>
          <w:szCs w:val="28"/>
          <w:highlight w:val="none"/>
        </w:rPr>
        <w:br w:type="page"/>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rPr>
        <w:t>、法人代表授权书</w:t>
      </w:r>
    </w:p>
    <w:p w14:paraId="3A1FCFAC">
      <w:pPr>
        <w:spacing w:line="46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（采购人）：</w:t>
      </w:r>
    </w:p>
    <w:p w14:paraId="595CDBAA">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（供应商全称）法人代表授权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（供应商代表姓名）为供应商代表，参加贵单位组织的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（项目名称）项目（项目编号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采购活动，全权代表我方处理采购活动的一切事宜。</w:t>
      </w:r>
    </w:p>
    <w:p w14:paraId="566EE2AB">
      <w:pPr>
        <w:spacing w:line="460" w:lineRule="exact"/>
        <w:rPr>
          <w:rFonts w:ascii="仿宋" w:hAnsi="仿宋" w:eastAsia="仿宋" w:cs="仿宋"/>
          <w:color w:val="auto"/>
          <w:sz w:val="28"/>
          <w:szCs w:val="28"/>
          <w:highlight w:val="none"/>
        </w:rPr>
      </w:pPr>
    </w:p>
    <w:p w14:paraId="4FC0EDDC">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法定代表人（签字或盖章）：</w:t>
      </w:r>
    </w:p>
    <w:p w14:paraId="1F20F947">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eastAsia="zh-CN"/>
        </w:rPr>
        <w:t>公</w:t>
      </w:r>
      <w:r>
        <w:rPr>
          <w:rFonts w:hint="eastAsia" w:ascii="仿宋" w:hAnsi="仿宋" w:eastAsia="仿宋" w:cs="仿宋"/>
          <w:color w:val="auto"/>
          <w:sz w:val="28"/>
          <w:szCs w:val="28"/>
          <w:highlight w:val="none"/>
        </w:rPr>
        <w:t>章：</w:t>
      </w:r>
    </w:p>
    <w:p w14:paraId="4879ADB6">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日期：</w:t>
      </w:r>
    </w:p>
    <w:p w14:paraId="23AE86BD">
      <w:pPr>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u w:val="single"/>
        </w:rPr>
        <w:t>委托代理人身份证复印件</w:t>
      </w:r>
    </w:p>
    <w:p w14:paraId="0E5548E7">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4F90C492">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r>
        <w:rPr>
          <w:rFonts w:hint="eastAsia" w:ascii="仿宋" w:hAnsi="仿宋" w:eastAsia="仿宋" w:cs="仿宋"/>
          <w:color w:val="auto"/>
          <w:sz w:val="28"/>
          <w:szCs w:val="28"/>
          <w:highlight w:val="none"/>
          <w:u w:val="single"/>
        </w:rPr>
        <w:t xml:space="preserve">                       </w:t>
      </w:r>
    </w:p>
    <w:p w14:paraId="59E2B8F9">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详细通讯地址：  </w:t>
      </w:r>
      <w:r>
        <w:rPr>
          <w:rFonts w:hint="eastAsia" w:ascii="仿宋" w:hAnsi="仿宋" w:eastAsia="仿宋" w:cs="仿宋"/>
          <w:color w:val="auto"/>
          <w:sz w:val="28"/>
          <w:szCs w:val="28"/>
          <w:highlight w:val="none"/>
          <w:u w:val="single"/>
        </w:rPr>
        <w:t xml:space="preserve">                       </w:t>
      </w:r>
    </w:p>
    <w:p w14:paraId="09234768">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  政  编  码：</w:t>
      </w:r>
      <w:r>
        <w:rPr>
          <w:rFonts w:hint="eastAsia" w:ascii="仿宋" w:hAnsi="仿宋" w:eastAsia="仿宋" w:cs="仿宋"/>
          <w:color w:val="auto"/>
          <w:sz w:val="28"/>
          <w:szCs w:val="28"/>
          <w:highlight w:val="none"/>
          <w:u w:val="single"/>
        </w:rPr>
        <w:t xml:space="preserve">                       </w:t>
      </w:r>
    </w:p>
    <w:p w14:paraId="68434A69">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r>
        <w:rPr>
          <w:rFonts w:hint="eastAsia" w:ascii="仿宋" w:hAnsi="仿宋" w:eastAsia="仿宋" w:cs="仿宋"/>
          <w:color w:val="auto"/>
          <w:sz w:val="28"/>
          <w:szCs w:val="28"/>
          <w:highlight w:val="none"/>
          <w:u w:val="single"/>
        </w:rPr>
        <w:t xml:space="preserve">                       </w:t>
      </w:r>
    </w:p>
    <w:p w14:paraId="7406B1DE">
      <w:pPr>
        <w:spacing w:line="560" w:lineRule="exact"/>
        <w:ind w:firstLine="482"/>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（紧急事件联系电话） </w:t>
      </w:r>
    </w:p>
    <w:p w14:paraId="2B66C02A">
      <w:pPr>
        <w:spacing w:line="440" w:lineRule="exact"/>
        <w:ind w:firstLine="548" w:firstLineChars="196"/>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电  子  信  箱：</w:t>
      </w:r>
      <w:r>
        <w:rPr>
          <w:rFonts w:hint="eastAsia" w:ascii="仿宋" w:hAnsi="仿宋" w:eastAsia="仿宋" w:cs="仿宋"/>
          <w:color w:val="auto"/>
          <w:sz w:val="28"/>
          <w:szCs w:val="28"/>
          <w:highlight w:val="none"/>
          <w:u w:val="single"/>
        </w:rPr>
        <w:t xml:space="preserve">                       </w:t>
      </w:r>
    </w:p>
    <w:p w14:paraId="1185C71E">
      <w:pPr>
        <w:spacing w:line="440" w:lineRule="exact"/>
        <w:jc w:val="center"/>
        <w:rPr>
          <w:rFonts w:ascii="仿宋" w:hAnsi="仿宋" w:eastAsia="仿宋" w:cs="仿宋"/>
          <w:b/>
          <w:bCs/>
          <w:color w:val="auto"/>
          <w:sz w:val="28"/>
          <w:szCs w:val="28"/>
          <w:highlight w:val="none"/>
        </w:rPr>
      </w:pPr>
    </w:p>
    <w:p w14:paraId="70A18BFF">
      <w:pPr>
        <w:pStyle w:val="8"/>
        <w:spacing w:before="66"/>
        <w:ind w:left="2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11F5C8E4">
      <w:pPr>
        <w:pStyle w:val="63"/>
        <w:numPr>
          <w:ilvl w:val="0"/>
          <w:numId w:val="8"/>
        </w:numPr>
        <w:tabs>
          <w:tab w:val="left" w:pos="462"/>
        </w:tabs>
        <w:spacing w:before="161"/>
        <w:ind w:hanging="24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本项目只允许有唯一的供应商授权代表，提供身份证明扫描件或影印件；</w:t>
      </w:r>
    </w:p>
    <w:p w14:paraId="58D76EE1">
      <w:pPr>
        <w:pStyle w:val="63"/>
        <w:numPr>
          <w:ilvl w:val="0"/>
          <w:numId w:val="8"/>
        </w:numPr>
        <w:tabs>
          <w:tab w:val="left" w:pos="462"/>
        </w:tabs>
        <w:spacing w:before="158"/>
        <w:ind w:hanging="24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法定代表人参加磋商的无需提供授权书，仅提供身份证明扫描件或影印件。</w:t>
      </w:r>
    </w:p>
    <w:p w14:paraId="270DB63A">
      <w:pPr>
        <w:rPr>
          <w:rFonts w:ascii="仿宋" w:hAnsi="仿宋" w:eastAsia="仿宋" w:cs="仿宋"/>
          <w:color w:val="auto"/>
          <w:sz w:val="28"/>
          <w:szCs w:val="28"/>
          <w:highlight w:val="none"/>
        </w:rPr>
      </w:pPr>
    </w:p>
    <w:p w14:paraId="30DD60CD">
      <w:pPr>
        <w:rPr>
          <w:rFonts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附：法定代表人身份证明</w:t>
      </w:r>
    </w:p>
    <w:p w14:paraId="364014E0">
      <w:pPr>
        <w:spacing w:line="360" w:lineRule="auto"/>
        <w:jc w:val="center"/>
        <w:rPr>
          <w:rFonts w:ascii="仿宋" w:hAnsi="仿宋" w:eastAsia="仿宋" w:cs="仿宋"/>
          <w:b/>
          <w:color w:val="auto"/>
          <w:highlight w:val="none"/>
        </w:rPr>
      </w:pPr>
    </w:p>
    <w:p w14:paraId="3C651148">
      <w:pPr>
        <w:pStyle w:val="44"/>
        <w:rPr>
          <w:color w:val="auto"/>
          <w:highlight w:val="none"/>
        </w:rPr>
      </w:pPr>
    </w:p>
    <w:p w14:paraId="7D72DB3B">
      <w:pPr>
        <w:rPr>
          <w:color w:val="auto"/>
          <w:highlight w:val="none"/>
        </w:rPr>
      </w:pPr>
    </w:p>
    <w:p w14:paraId="3C9C85E6">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法定代表人身份证明</w:t>
      </w:r>
    </w:p>
    <w:p w14:paraId="6EA5F16E">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u w:val="single"/>
        </w:rPr>
        <w:t xml:space="preserve">                                       </w:t>
      </w:r>
    </w:p>
    <w:p w14:paraId="087D1FAC">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p>
    <w:p w14:paraId="7C31189B">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4C6369B9">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年     月    日                 </w:t>
      </w:r>
    </w:p>
    <w:p w14:paraId="10E7548E">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6B5BC6B6">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    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p>
    <w:p w14:paraId="7AC72356">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年    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职务：</w:t>
      </w:r>
      <w:r>
        <w:rPr>
          <w:rFonts w:hint="eastAsia" w:ascii="仿宋" w:hAnsi="仿宋" w:eastAsia="仿宋" w:cs="仿宋"/>
          <w:color w:val="auto"/>
          <w:sz w:val="28"/>
          <w:szCs w:val="28"/>
          <w:highlight w:val="none"/>
          <w:u w:val="single"/>
        </w:rPr>
        <w:t xml:space="preserve">                     </w:t>
      </w:r>
    </w:p>
    <w:p w14:paraId="14C4DBA9">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（供应商单位名称）             </w:t>
      </w:r>
      <w:r>
        <w:rPr>
          <w:rFonts w:hint="eastAsia" w:ascii="仿宋" w:hAnsi="仿宋" w:eastAsia="仿宋" w:cs="仿宋"/>
          <w:color w:val="auto"/>
          <w:sz w:val="28"/>
          <w:szCs w:val="28"/>
          <w:highlight w:val="none"/>
        </w:rPr>
        <w:t>的法定代表人。</w:t>
      </w:r>
    </w:p>
    <w:p w14:paraId="0853FED4">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09D0F2F4">
      <w:pPr>
        <w:spacing w:line="360" w:lineRule="auto"/>
        <w:ind w:right="48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eastAsia="zh-CN"/>
        </w:rPr>
        <w:t>公</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u w:val="single"/>
        </w:rPr>
        <w:t xml:space="preserve">          </w:t>
      </w:r>
    </w:p>
    <w:p w14:paraId="35CD8888">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 年  月  日</w:t>
      </w:r>
    </w:p>
    <w:p w14:paraId="30E1179B">
      <w:pPr>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u w:val="single"/>
        </w:rPr>
        <w:t>法定代表人身份证复印件</w:t>
      </w:r>
    </w:p>
    <w:p w14:paraId="38122FC0">
      <w:pPr>
        <w:rPr>
          <w:rFonts w:ascii="仿宋" w:hAnsi="仿宋" w:eastAsia="仿宋" w:cs="仿宋"/>
          <w:color w:val="auto"/>
          <w:sz w:val="28"/>
          <w:szCs w:val="28"/>
          <w:highlight w:val="none"/>
        </w:rPr>
      </w:pPr>
    </w:p>
    <w:p w14:paraId="74E7F08B">
      <w:pPr>
        <w:pStyle w:val="44"/>
        <w:rPr>
          <w:color w:val="auto"/>
          <w:highlight w:val="none"/>
        </w:rPr>
      </w:pPr>
    </w:p>
    <w:p w14:paraId="44C2DBE9">
      <w:pPr>
        <w:rPr>
          <w:color w:val="auto"/>
          <w:highlight w:val="none"/>
        </w:rPr>
      </w:pPr>
    </w:p>
    <w:p w14:paraId="6D351162">
      <w:pPr>
        <w:pStyle w:val="44"/>
        <w:rPr>
          <w:color w:val="auto"/>
          <w:highlight w:val="none"/>
        </w:rPr>
      </w:pPr>
    </w:p>
    <w:p w14:paraId="22D5CC2C">
      <w:pPr>
        <w:rPr>
          <w:color w:val="auto"/>
          <w:highlight w:val="none"/>
        </w:rPr>
      </w:pPr>
    </w:p>
    <w:p w14:paraId="09946A84">
      <w:pPr>
        <w:pStyle w:val="44"/>
        <w:rPr>
          <w:color w:val="auto"/>
          <w:highlight w:val="none"/>
        </w:rPr>
      </w:pPr>
    </w:p>
    <w:p w14:paraId="07BD85A9">
      <w:pPr>
        <w:rPr>
          <w:color w:val="auto"/>
          <w:highlight w:val="none"/>
        </w:rPr>
      </w:pPr>
    </w:p>
    <w:p w14:paraId="7F8A8416">
      <w:pPr>
        <w:pStyle w:val="44"/>
        <w:rPr>
          <w:color w:val="auto"/>
          <w:highlight w:val="none"/>
        </w:rPr>
      </w:pPr>
    </w:p>
    <w:p w14:paraId="4A2D93D9">
      <w:pPr>
        <w:rPr>
          <w:color w:val="auto"/>
          <w:highlight w:val="none"/>
        </w:rPr>
      </w:pPr>
    </w:p>
    <w:p w14:paraId="5BCF1007">
      <w:pPr>
        <w:pStyle w:val="44"/>
        <w:rPr>
          <w:color w:val="auto"/>
          <w:highlight w:val="none"/>
        </w:rPr>
      </w:pPr>
    </w:p>
    <w:p w14:paraId="39E14D5F">
      <w:pPr>
        <w:rPr>
          <w:color w:val="auto"/>
          <w:highlight w:val="none"/>
        </w:rPr>
      </w:pPr>
    </w:p>
    <w:p w14:paraId="20636EC9">
      <w:pPr>
        <w:pStyle w:val="44"/>
        <w:rPr>
          <w:color w:val="auto"/>
          <w:highlight w:val="none"/>
        </w:rPr>
      </w:pPr>
    </w:p>
    <w:p w14:paraId="5D14C090">
      <w:pPr>
        <w:rPr>
          <w:rFonts w:ascii="仿宋" w:hAnsi="仿宋" w:eastAsia="仿宋" w:cs="仿宋"/>
          <w:color w:val="auto"/>
          <w:sz w:val="28"/>
          <w:szCs w:val="28"/>
          <w:highlight w:val="none"/>
        </w:rPr>
      </w:pPr>
    </w:p>
    <w:p w14:paraId="4C77152F">
      <w:pPr>
        <w:rPr>
          <w:rFonts w:ascii="仿宋" w:hAnsi="仿宋" w:eastAsia="仿宋" w:cs="仿宋"/>
          <w:color w:val="auto"/>
          <w:highlight w:val="none"/>
        </w:rPr>
      </w:pPr>
    </w:p>
    <w:p w14:paraId="38A8AF5E">
      <w:pPr>
        <w:jc w:val="both"/>
        <w:rPr>
          <w:rFonts w:ascii="仿宋" w:hAnsi="仿宋" w:eastAsia="仿宋" w:cs="仿宋"/>
          <w:color w:val="auto"/>
          <w:sz w:val="32"/>
          <w:szCs w:val="32"/>
          <w:highlight w:val="none"/>
        </w:rPr>
      </w:pPr>
    </w:p>
    <w:p w14:paraId="43AAADED">
      <w:pPr>
        <w:jc w:val="center"/>
        <w:rPr>
          <w:rFonts w:hint="eastAsia" w:ascii="仿宋" w:hAnsi="仿宋" w:eastAsia="仿宋" w:cs="仿宋"/>
          <w:color w:val="auto"/>
          <w:sz w:val="32"/>
          <w:szCs w:val="32"/>
          <w:highlight w:val="none"/>
          <w:lang w:val="en-US"/>
        </w:rPr>
      </w:pPr>
      <w:r>
        <w:rPr>
          <w:rFonts w:hint="eastAsia" w:ascii="仿宋" w:hAnsi="仿宋" w:eastAsia="仿宋" w:cs="仿宋"/>
          <w:b/>
          <w:bCs/>
          <w:color w:val="auto"/>
          <w:sz w:val="32"/>
          <w:szCs w:val="32"/>
          <w:highlight w:val="none"/>
          <w:lang w:val="en-US" w:bidi="zh-CN"/>
        </w:rPr>
        <w:t>4</w:t>
      </w:r>
      <w:r>
        <w:rPr>
          <w:rFonts w:hint="eastAsia" w:ascii="仿宋" w:hAnsi="仿宋" w:eastAsia="仿宋" w:cs="仿宋"/>
          <w:b/>
          <w:bCs/>
          <w:color w:val="auto"/>
          <w:sz w:val="32"/>
          <w:szCs w:val="32"/>
          <w:highlight w:val="none"/>
          <w:lang w:bidi="zh-CN"/>
        </w:rPr>
        <w:t>、工程量清单报价</w:t>
      </w:r>
    </w:p>
    <w:p w14:paraId="6E2623D4">
      <w:pPr>
        <w:spacing w:line="360" w:lineRule="auto"/>
        <w:ind w:firstLine="2409" w:firstLineChars="1000"/>
        <w:rPr>
          <w:rFonts w:ascii="仿宋" w:hAnsi="仿宋" w:eastAsia="仿宋" w:cs="仿宋"/>
          <w:b/>
          <w:color w:val="auto"/>
          <w:sz w:val="24"/>
          <w:highlight w:val="none"/>
        </w:rPr>
      </w:pPr>
      <w:r>
        <w:rPr>
          <w:rFonts w:hint="eastAsia" w:ascii="仿宋" w:hAnsi="仿宋" w:eastAsia="仿宋" w:cs="仿宋"/>
          <w:b/>
          <w:color w:val="auto"/>
          <w:sz w:val="24"/>
          <w:highlight w:val="none"/>
        </w:rPr>
        <w:t>（按照未标价工程量清单</w:t>
      </w:r>
      <w:r>
        <w:rPr>
          <w:rFonts w:hint="eastAsia" w:ascii="仿宋" w:hAnsi="仿宋" w:eastAsia="仿宋" w:cs="仿宋"/>
          <w:b/>
          <w:color w:val="auto"/>
          <w:sz w:val="24"/>
          <w:highlight w:val="none"/>
          <w:lang w:val="en-US" w:eastAsia="zh-CN"/>
        </w:rPr>
        <w:t>进行</w:t>
      </w:r>
      <w:r>
        <w:rPr>
          <w:rFonts w:hint="eastAsia" w:ascii="仿宋" w:hAnsi="仿宋" w:eastAsia="仿宋" w:cs="仿宋"/>
          <w:b/>
          <w:color w:val="auto"/>
          <w:sz w:val="24"/>
          <w:highlight w:val="none"/>
        </w:rPr>
        <w:t>报价，格式自拟）</w:t>
      </w:r>
    </w:p>
    <w:p w14:paraId="71788457">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val="en-US"/>
        </w:rPr>
        <w:t>、资格审查资料</w:t>
      </w:r>
    </w:p>
    <w:p w14:paraId="44C30334">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投标人基本情况表</w:t>
      </w:r>
    </w:p>
    <w:tbl>
      <w:tblPr>
        <w:tblStyle w:val="28"/>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336"/>
        <w:gridCol w:w="585"/>
        <w:gridCol w:w="641"/>
        <w:gridCol w:w="889"/>
        <w:gridCol w:w="1426"/>
        <w:gridCol w:w="705"/>
        <w:gridCol w:w="900"/>
        <w:gridCol w:w="841"/>
      </w:tblGrid>
      <w:tr w14:paraId="4D3BC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45053D0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2ECEA2C0">
            <w:pPr>
              <w:topLinePunct/>
              <w:jc w:val="center"/>
              <w:rPr>
                <w:rFonts w:ascii="仿宋" w:hAnsi="仿宋" w:eastAsia="仿宋" w:cs="仿宋"/>
                <w:color w:val="auto"/>
                <w:sz w:val="28"/>
                <w:szCs w:val="28"/>
                <w:highlight w:val="none"/>
              </w:rPr>
            </w:pPr>
          </w:p>
        </w:tc>
      </w:tr>
      <w:tr w14:paraId="707F0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2C5671C8">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c>
          <w:tcPr>
            <w:tcW w:w="3451" w:type="dxa"/>
            <w:gridSpan w:val="4"/>
            <w:tcBorders>
              <w:top w:val="single" w:color="auto" w:sz="4" w:space="0"/>
              <w:left w:val="single" w:color="auto" w:sz="4" w:space="0"/>
              <w:bottom w:val="single" w:color="auto" w:sz="4" w:space="0"/>
              <w:right w:val="single" w:color="auto" w:sz="4" w:space="0"/>
            </w:tcBorders>
            <w:vAlign w:val="center"/>
          </w:tcPr>
          <w:p w14:paraId="127A6687">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3F8E7498">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3238CFF3">
            <w:pPr>
              <w:topLinePunct/>
              <w:jc w:val="center"/>
              <w:rPr>
                <w:rFonts w:ascii="仿宋" w:hAnsi="仿宋" w:eastAsia="仿宋" w:cs="仿宋"/>
                <w:color w:val="auto"/>
                <w:sz w:val="28"/>
                <w:szCs w:val="28"/>
                <w:highlight w:val="none"/>
              </w:rPr>
            </w:pPr>
          </w:p>
        </w:tc>
      </w:tr>
      <w:tr w14:paraId="71EBF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14:paraId="71BCC174">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tc>
        <w:tc>
          <w:tcPr>
            <w:tcW w:w="1336" w:type="dxa"/>
            <w:tcBorders>
              <w:top w:val="single" w:color="auto" w:sz="4" w:space="0"/>
              <w:left w:val="single" w:color="auto" w:sz="4" w:space="0"/>
              <w:bottom w:val="single" w:color="auto" w:sz="4" w:space="0"/>
              <w:right w:val="single" w:color="auto" w:sz="4" w:space="0"/>
            </w:tcBorders>
            <w:vAlign w:val="center"/>
          </w:tcPr>
          <w:p w14:paraId="4101D317">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115" w:type="dxa"/>
            <w:gridSpan w:val="3"/>
            <w:tcBorders>
              <w:top w:val="single" w:color="auto" w:sz="4" w:space="0"/>
              <w:left w:val="single" w:color="auto" w:sz="4" w:space="0"/>
              <w:bottom w:val="single" w:color="auto" w:sz="4" w:space="0"/>
              <w:right w:val="single" w:color="auto" w:sz="4" w:space="0"/>
            </w:tcBorders>
            <w:vAlign w:val="center"/>
          </w:tcPr>
          <w:p w14:paraId="76F61B42">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1C2C8A7">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40F6B2C1">
            <w:pPr>
              <w:topLinePunct/>
              <w:jc w:val="center"/>
              <w:rPr>
                <w:rFonts w:ascii="仿宋" w:hAnsi="仿宋" w:eastAsia="仿宋" w:cs="仿宋"/>
                <w:color w:val="auto"/>
                <w:sz w:val="28"/>
                <w:szCs w:val="28"/>
                <w:highlight w:val="none"/>
              </w:rPr>
            </w:pPr>
          </w:p>
        </w:tc>
      </w:tr>
      <w:tr w14:paraId="568CB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857" w:type="dxa"/>
            <w:vMerge w:val="continue"/>
            <w:tcBorders>
              <w:top w:val="single" w:color="auto" w:sz="4" w:space="0"/>
              <w:left w:val="single" w:color="auto" w:sz="4" w:space="0"/>
              <w:bottom w:val="single" w:color="auto" w:sz="4" w:space="0"/>
              <w:right w:val="single" w:color="auto" w:sz="4" w:space="0"/>
            </w:tcBorders>
            <w:vAlign w:val="center"/>
          </w:tcPr>
          <w:p w14:paraId="47135554">
            <w:pPr>
              <w:widowControl/>
              <w:jc w:val="left"/>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1AD9FE6C">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p>
        </w:tc>
        <w:tc>
          <w:tcPr>
            <w:tcW w:w="2115" w:type="dxa"/>
            <w:gridSpan w:val="3"/>
            <w:tcBorders>
              <w:top w:val="single" w:color="auto" w:sz="4" w:space="0"/>
              <w:left w:val="single" w:color="auto" w:sz="4" w:space="0"/>
              <w:bottom w:val="single" w:color="auto" w:sz="4" w:space="0"/>
              <w:right w:val="single" w:color="auto" w:sz="4" w:space="0"/>
            </w:tcBorders>
            <w:vAlign w:val="center"/>
          </w:tcPr>
          <w:p w14:paraId="4A4ADC63">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480F5E6">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网 址</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6CD2585A">
            <w:pPr>
              <w:topLinePunct/>
              <w:jc w:val="center"/>
              <w:rPr>
                <w:rFonts w:ascii="仿宋" w:hAnsi="仿宋" w:eastAsia="仿宋" w:cs="仿宋"/>
                <w:color w:val="auto"/>
                <w:sz w:val="28"/>
                <w:szCs w:val="28"/>
                <w:highlight w:val="none"/>
              </w:rPr>
            </w:pPr>
          </w:p>
        </w:tc>
      </w:tr>
      <w:tr w14:paraId="17B8B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28F4860D">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组织结构</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6746D7AA">
            <w:pPr>
              <w:topLinePunct/>
              <w:jc w:val="center"/>
              <w:rPr>
                <w:rFonts w:ascii="仿宋" w:hAnsi="仿宋" w:eastAsia="仿宋" w:cs="仿宋"/>
                <w:color w:val="auto"/>
                <w:sz w:val="28"/>
                <w:szCs w:val="28"/>
                <w:highlight w:val="none"/>
              </w:rPr>
            </w:pPr>
          </w:p>
        </w:tc>
      </w:tr>
      <w:tr w14:paraId="20951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E6BA5AB">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728C504">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2AB8E130">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557D44ED">
            <w:pPr>
              <w:topLinePunct/>
              <w:jc w:val="center"/>
              <w:rPr>
                <w:rFonts w:ascii="仿宋" w:hAnsi="仿宋" w:eastAsia="仿宋" w:cs="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29DE11A">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841" w:type="dxa"/>
            <w:tcBorders>
              <w:top w:val="single" w:color="auto" w:sz="4" w:space="0"/>
              <w:left w:val="single" w:color="auto" w:sz="4" w:space="0"/>
              <w:bottom w:val="single" w:color="auto" w:sz="4" w:space="0"/>
              <w:right w:val="single" w:color="auto" w:sz="4" w:space="0"/>
            </w:tcBorders>
            <w:vAlign w:val="center"/>
          </w:tcPr>
          <w:p w14:paraId="0EC9A16F">
            <w:pPr>
              <w:topLinePunct/>
              <w:jc w:val="center"/>
              <w:rPr>
                <w:rFonts w:ascii="仿宋" w:hAnsi="仿宋" w:eastAsia="仿宋" w:cs="仿宋"/>
                <w:color w:val="auto"/>
                <w:sz w:val="28"/>
                <w:szCs w:val="28"/>
                <w:highlight w:val="none"/>
              </w:rPr>
            </w:pPr>
          </w:p>
        </w:tc>
      </w:tr>
      <w:tr w14:paraId="53869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595EFC0">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技术负责人</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3E90D13E">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24BD86B0">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739F1C0A">
            <w:pPr>
              <w:topLinePunct/>
              <w:jc w:val="center"/>
              <w:rPr>
                <w:rFonts w:ascii="仿宋" w:hAnsi="仿宋" w:eastAsia="仿宋" w:cs="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570996B">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841" w:type="dxa"/>
            <w:tcBorders>
              <w:top w:val="single" w:color="auto" w:sz="4" w:space="0"/>
              <w:left w:val="single" w:color="auto" w:sz="4" w:space="0"/>
              <w:bottom w:val="single" w:color="auto" w:sz="4" w:space="0"/>
              <w:right w:val="single" w:color="auto" w:sz="4" w:space="0"/>
            </w:tcBorders>
            <w:vAlign w:val="center"/>
          </w:tcPr>
          <w:p w14:paraId="7896F55A">
            <w:pPr>
              <w:topLinePunct/>
              <w:jc w:val="center"/>
              <w:rPr>
                <w:rFonts w:ascii="仿宋" w:hAnsi="仿宋" w:eastAsia="仿宋" w:cs="仿宋"/>
                <w:color w:val="auto"/>
                <w:sz w:val="28"/>
                <w:szCs w:val="28"/>
                <w:highlight w:val="none"/>
              </w:rPr>
            </w:pPr>
          </w:p>
        </w:tc>
      </w:tr>
      <w:tr w14:paraId="568E3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3A606014">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1D255E63">
            <w:pPr>
              <w:topLinePunct/>
              <w:jc w:val="center"/>
              <w:rPr>
                <w:rFonts w:ascii="仿宋" w:hAnsi="仿宋" w:eastAsia="仿宋" w:cs="仿宋"/>
                <w:color w:val="auto"/>
                <w:sz w:val="28"/>
                <w:szCs w:val="28"/>
                <w:highlight w:val="none"/>
              </w:rPr>
            </w:pPr>
          </w:p>
        </w:tc>
        <w:tc>
          <w:tcPr>
            <w:tcW w:w="5402" w:type="dxa"/>
            <w:gridSpan w:val="6"/>
            <w:tcBorders>
              <w:top w:val="single" w:color="auto" w:sz="4" w:space="0"/>
              <w:left w:val="single" w:color="auto" w:sz="4" w:space="0"/>
              <w:bottom w:val="single" w:color="auto" w:sz="4" w:space="0"/>
              <w:right w:val="single" w:color="auto" w:sz="4" w:space="0"/>
            </w:tcBorders>
            <w:vAlign w:val="center"/>
          </w:tcPr>
          <w:p w14:paraId="0AF921CE">
            <w:pPr>
              <w:topLinePunct/>
              <w:ind w:firstLine="140" w:firstLineChars="5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员工总人数：</w:t>
            </w:r>
          </w:p>
        </w:tc>
      </w:tr>
      <w:tr w14:paraId="70B6F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7482957E">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企业资质等级</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C2573F0">
            <w:pPr>
              <w:topLinePunct/>
              <w:jc w:val="center"/>
              <w:rPr>
                <w:rFonts w:ascii="仿宋" w:hAnsi="仿宋" w:eastAsia="仿宋" w:cs="仿宋"/>
                <w:color w:val="auto"/>
                <w:sz w:val="28"/>
                <w:szCs w:val="28"/>
                <w:highlight w:val="none"/>
              </w:rPr>
            </w:pPr>
          </w:p>
        </w:tc>
        <w:tc>
          <w:tcPr>
            <w:tcW w:w="641" w:type="dxa"/>
            <w:vMerge w:val="restart"/>
            <w:tcBorders>
              <w:top w:val="single" w:color="auto" w:sz="4" w:space="0"/>
              <w:left w:val="single" w:color="auto" w:sz="4" w:space="0"/>
              <w:bottom w:val="single" w:color="auto" w:sz="4" w:space="0"/>
              <w:right w:val="single" w:color="auto" w:sz="4" w:space="0"/>
            </w:tcBorders>
            <w:vAlign w:val="center"/>
          </w:tcPr>
          <w:p w14:paraId="677AB255">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4C8028E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项目经理</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47E8DF50">
            <w:pPr>
              <w:topLinePunct/>
              <w:jc w:val="center"/>
              <w:rPr>
                <w:rFonts w:ascii="仿宋" w:hAnsi="仿宋" w:eastAsia="仿宋" w:cs="仿宋"/>
                <w:color w:val="auto"/>
                <w:sz w:val="28"/>
                <w:szCs w:val="28"/>
                <w:highlight w:val="none"/>
              </w:rPr>
            </w:pPr>
          </w:p>
        </w:tc>
      </w:tr>
      <w:tr w14:paraId="42C43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42C0456D">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9B1B0D7">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1CB3DB5D">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6F293816">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高级职称人员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0F456B20">
            <w:pPr>
              <w:topLinePunct/>
              <w:jc w:val="center"/>
              <w:rPr>
                <w:rFonts w:ascii="仿宋" w:hAnsi="仿宋" w:eastAsia="仿宋" w:cs="仿宋"/>
                <w:color w:val="auto"/>
                <w:sz w:val="28"/>
                <w:szCs w:val="28"/>
                <w:highlight w:val="none"/>
              </w:rPr>
            </w:pPr>
          </w:p>
        </w:tc>
      </w:tr>
      <w:tr w14:paraId="56770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3F8C9F5A">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5F127CF">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535833CA">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60B9FB6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中级职称人员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6929EAE4">
            <w:pPr>
              <w:topLinePunct/>
              <w:jc w:val="center"/>
              <w:rPr>
                <w:rFonts w:ascii="仿宋" w:hAnsi="仿宋" w:eastAsia="仿宋" w:cs="仿宋"/>
                <w:color w:val="auto"/>
                <w:sz w:val="28"/>
                <w:szCs w:val="28"/>
                <w:highlight w:val="none"/>
              </w:rPr>
            </w:pPr>
          </w:p>
        </w:tc>
      </w:tr>
      <w:tr w14:paraId="3F29C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73DF6F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0D192AA6">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566DE741">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6BA6CD0E">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初级职称人员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71D623A4">
            <w:pPr>
              <w:topLinePunct/>
              <w:jc w:val="center"/>
              <w:rPr>
                <w:rFonts w:ascii="仿宋" w:hAnsi="仿宋" w:eastAsia="仿宋" w:cs="仿宋"/>
                <w:color w:val="auto"/>
                <w:sz w:val="28"/>
                <w:szCs w:val="28"/>
                <w:highlight w:val="none"/>
              </w:rPr>
            </w:pPr>
          </w:p>
        </w:tc>
      </w:tr>
      <w:tr w14:paraId="6BB14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2B975CCB">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0D49B5B">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313EB151">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04F03695">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技工</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4F5AFA14">
            <w:pPr>
              <w:topLinePunct/>
              <w:jc w:val="center"/>
              <w:rPr>
                <w:rFonts w:ascii="仿宋" w:hAnsi="仿宋" w:eastAsia="仿宋" w:cs="仿宋"/>
                <w:color w:val="auto"/>
                <w:sz w:val="28"/>
                <w:szCs w:val="28"/>
                <w:highlight w:val="none"/>
              </w:rPr>
            </w:pPr>
          </w:p>
        </w:tc>
      </w:tr>
      <w:tr w14:paraId="1C5A1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857" w:type="dxa"/>
            <w:tcBorders>
              <w:top w:val="single" w:color="auto" w:sz="4" w:space="0"/>
              <w:left w:val="single" w:color="auto" w:sz="4" w:space="0"/>
              <w:bottom w:val="nil"/>
              <w:right w:val="single" w:color="auto" w:sz="4" w:space="0"/>
            </w:tcBorders>
            <w:vAlign w:val="center"/>
          </w:tcPr>
          <w:p w14:paraId="6517FC52">
            <w:pPr>
              <w:topLinePunct/>
              <w:ind w:firstLine="280" w:firstLineChars="10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7323" w:type="dxa"/>
            <w:gridSpan w:val="8"/>
            <w:tcBorders>
              <w:top w:val="single" w:color="auto" w:sz="4" w:space="0"/>
              <w:left w:val="single" w:color="auto" w:sz="4" w:space="0"/>
              <w:bottom w:val="nil"/>
              <w:right w:val="single" w:color="auto" w:sz="4" w:space="0"/>
            </w:tcBorders>
            <w:vAlign w:val="center"/>
          </w:tcPr>
          <w:p w14:paraId="61B3630C">
            <w:pPr>
              <w:topLinePunct/>
              <w:rPr>
                <w:rFonts w:ascii="仿宋" w:hAnsi="仿宋" w:eastAsia="仿宋" w:cs="仿宋"/>
                <w:color w:val="auto"/>
                <w:sz w:val="28"/>
                <w:szCs w:val="28"/>
                <w:highlight w:val="none"/>
              </w:rPr>
            </w:pPr>
          </w:p>
        </w:tc>
      </w:tr>
      <w:tr w14:paraId="483BC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7F0DA15">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7E0BEB4C">
            <w:pPr>
              <w:topLinePunct/>
              <w:jc w:val="center"/>
              <w:rPr>
                <w:rFonts w:ascii="仿宋" w:hAnsi="仿宋" w:eastAsia="仿宋" w:cs="仿宋"/>
                <w:color w:val="auto"/>
                <w:sz w:val="28"/>
                <w:szCs w:val="28"/>
                <w:highlight w:val="none"/>
              </w:rPr>
            </w:pPr>
          </w:p>
        </w:tc>
      </w:tr>
    </w:tbl>
    <w:p w14:paraId="19AA7ECD">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附：营业执照、资质证书等企业相关资格评审资料</w:t>
      </w:r>
    </w:p>
    <w:p w14:paraId="40ACB64D">
      <w:pPr>
        <w:spacing w:line="360" w:lineRule="auto"/>
        <w:ind w:left="480"/>
        <w:jc w:val="center"/>
        <w:rPr>
          <w:rFonts w:ascii="仿宋" w:hAnsi="仿宋" w:eastAsia="仿宋" w:cs="仿宋"/>
          <w:b/>
          <w:color w:val="auto"/>
          <w:szCs w:val="21"/>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项目管理机构组成表</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74"/>
        <w:gridCol w:w="1074"/>
        <w:gridCol w:w="1627"/>
        <w:gridCol w:w="1061"/>
        <w:gridCol w:w="1513"/>
        <w:gridCol w:w="1336"/>
        <w:gridCol w:w="1307"/>
      </w:tblGrid>
      <w:tr w14:paraId="3DE7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89" w:type="dxa"/>
            <w:vMerge w:val="restart"/>
            <w:tcBorders>
              <w:top w:val="single" w:color="auto" w:sz="4" w:space="0"/>
              <w:left w:val="single" w:color="auto" w:sz="4" w:space="0"/>
              <w:bottom w:val="single" w:color="auto" w:sz="4" w:space="0"/>
              <w:right w:val="single" w:color="auto" w:sz="4" w:space="0"/>
            </w:tcBorders>
            <w:vAlign w:val="center"/>
          </w:tcPr>
          <w:p w14:paraId="05BA63F9">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 务</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358B5495">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 名</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4C50B9B7">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 称</w:t>
            </w:r>
          </w:p>
        </w:tc>
        <w:tc>
          <w:tcPr>
            <w:tcW w:w="5537" w:type="dxa"/>
            <w:gridSpan w:val="4"/>
            <w:tcBorders>
              <w:top w:val="single" w:color="auto" w:sz="4" w:space="0"/>
              <w:left w:val="single" w:color="auto" w:sz="4" w:space="0"/>
              <w:bottom w:val="single" w:color="auto" w:sz="4" w:space="0"/>
              <w:right w:val="single" w:color="auto" w:sz="4" w:space="0"/>
            </w:tcBorders>
            <w:vAlign w:val="center"/>
          </w:tcPr>
          <w:p w14:paraId="0E59F049">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执业或职业资格证明</w:t>
            </w:r>
          </w:p>
        </w:tc>
        <w:tc>
          <w:tcPr>
            <w:tcW w:w="1307" w:type="dxa"/>
            <w:vMerge w:val="restart"/>
            <w:tcBorders>
              <w:top w:val="single" w:color="auto" w:sz="4" w:space="0"/>
              <w:left w:val="single" w:color="auto" w:sz="4" w:space="0"/>
              <w:bottom w:val="single" w:color="auto" w:sz="4" w:space="0"/>
              <w:right w:val="single" w:color="auto" w:sz="4" w:space="0"/>
            </w:tcBorders>
            <w:vAlign w:val="center"/>
          </w:tcPr>
          <w:p w14:paraId="39BD297F">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 注</w:t>
            </w:r>
          </w:p>
        </w:tc>
      </w:tr>
      <w:tr w14:paraId="10C4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14:paraId="5B559942">
            <w:pPr>
              <w:widowControl/>
              <w:jc w:val="left"/>
              <w:rPr>
                <w:rFonts w:ascii="仿宋" w:hAnsi="仿宋" w:eastAsia="仿宋" w:cs="仿宋"/>
                <w:b/>
                <w:color w:val="auto"/>
                <w:sz w:val="28"/>
                <w:szCs w:val="28"/>
                <w:highlight w:val="none"/>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12E8DA86">
            <w:pPr>
              <w:widowControl/>
              <w:jc w:val="left"/>
              <w:rPr>
                <w:rFonts w:ascii="仿宋" w:hAnsi="仿宋" w:eastAsia="仿宋" w:cs="仿宋"/>
                <w:b/>
                <w:color w:val="auto"/>
                <w:sz w:val="28"/>
                <w:szCs w:val="28"/>
                <w:highlight w:val="none"/>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77F3749F">
            <w:pPr>
              <w:widowControl/>
              <w:jc w:val="left"/>
              <w:rPr>
                <w:rFonts w:ascii="仿宋" w:hAnsi="仿宋" w:eastAsia="仿宋" w:cs="仿宋"/>
                <w:b/>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7CE512D7">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证明名称</w:t>
            </w:r>
          </w:p>
        </w:tc>
        <w:tc>
          <w:tcPr>
            <w:tcW w:w="1061" w:type="dxa"/>
            <w:tcBorders>
              <w:top w:val="single" w:color="auto" w:sz="4" w:space="0"/>
              <w:left w:val="single" w:color="auto" w:sz="4" w:space="0"/>
              <w:bottom w:val="single" w:color="auto" w:sz="4" w:space="0"/>
              <w:right w:val="single" w:color="auto" w:sz="4" w:space="0"/>
            </w:tcBorders>
            <w:vAlign w:val="center"/>
          </w:tcPr>
          <w:p w14:paraId="05FB9ECC">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级别</w:t>
            </w:r>
          </w:p>
        </w:tc>
        <w:tc>
          <w:tcPr>
            <w:tcW w:w="1513" w:type="dxa"/>
            <w:tcBorders>
              <w:top w:val="single" w:color="auto" w:sz="4" w:space="0"/>
              <w:left w:val="single" w:color="auto" w:sz="4" w:space="0"/>
              <w:bottom w:val="single" w:color="auto" w:sz="4" w:space="0"/>
              <w:right w:val="single" w:color="auto" w:sz="4" w:space="0"/>
            </w:tcBorders>
            <w:vAlign w:val="center"/>
          </w:tcPr>
          <w:p w14:paraId="6FD50A44">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 号</w:t>
            </w:r>
          </w:p>
        </w:tc>
        <w:tc>
          <w:tcPr>
            <w:tcW w:w="1336" w:type="dxa"/>
            <w:tcBorders>
              <w:top w:val="single" w:color="auto" w:sz="4" w:space="0"/>
              <w:left w:val="single" w:color="auto" w:sz="4" w:space="0"/>
              <w:bottom w:val="single" w:color="auto" w:sz="4" w:space="0"/>
              <w:right w:val="single" w:color="auto" w:sz="4" w:space="0"/>
            </w:tcBorders>
            <w:vAlign w:val="center"/>
          </w:tcPr>
          <w:p w14:paraId="2AC12C39">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专业</w:t>
            </w: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022B51F6">
            <w:pPr>
              <w:widowControl/>
              <w:jc w:val="left"/>
              <w:rPr>
                <w:rFonts w:ascii="仿宋" w:hAnsi="仿宋" w:eastAsia="仿宋" w:cs="仿宋"/>
                <w:b/>
                <w:color w:val="auto"/>
                <w:sz w:val="28"/>
                <w:szCs w:val="28"/>
                <w:highlight w:val="none"/>
              </w:rPr>
            </w:pPr>
          </w:p>
        </w:tc>
      </w:tr>
      <w:tr w14:paraId="54D3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tcBorders>
              <w:top w:val="single" w:color="auto" w:sz="4" w:space="0"/>
              <w:left w:val="single" w:color="auto" w:sz="4" w:space="0"/>
              <w:bottom w:val="single" w:color="auto" w:sz="4" w:space="0"/>
              <w:right w:val="single" w:color="auto" w:sz="4" w:space="0"/>
            </w:tcBorders>
          </w:tcPr>
          <w:p w14:paraId="135C683A">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2BF827F2">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5E7AD90F">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2CFBDAEC">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15B7656E">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5600A383">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59A68E96">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5B746F32">
            <w:pPr>
              <w:spacing w:line="360" w:lineRule="auto"/>
              <w:rPr>
                <w:rFonts w:ascii="仿宋" w:hAnsi="仿宋" w:eastAsia="仿宋" w:cs="仿宋"/>
                <w:color w:val="auto"/>
                <w:sz w:val="28"/>
                <w:szCs w:val="28"/>
                <w:highlight w:val="none"/>
              </w:rPr>
            </w:pPr>
          </w:p>
        </w:tc>
      </w:tr>
      <w:tr w14:paraId="63C0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89" w:type="dxa"/>
            <w:tcBorders>
              <w:top w:val="single" w:color="auto" w:sz="4" w:space="0"/>
              <w:left w:val="single" w:color="auto" w:sz="4" w:space="0"/>
              <w:bottom w:val="single" w:color="auto" w:sz="4" w:space="0"/>
              <w:right w:val="single" w:color="auto" w:sz="4" w:space="0"/>
            </w:tcBorders>
          </w:tcPr>
          <w:p w14:paraId="649D984A">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44D3AF56">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36E49245">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755C653F">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29DC94EE">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5A0630D6">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59C1FE14">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6281A0D9">
            <w:pPr>
              <w:spacing w:line="360" w:lineRule="auto"/>
              <w:rPr>
                <w:rFonts w:ascii="仿宋" w:hAnsi="仿宋" w:eastAsia="仿宋" w:cs="仿宋"/>
                <w:color w:val="auto"/>
                <w:sz w:val="28"/>
                <w:szCs w:val="28"/>
                <w:highlight w:val="none"/>
              </w:rPr>
            </w:pPr>
          </w:p>
        </w:tc>
      </w:tr>
      <w:tr w14:paraId="4DEF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89" w:type="dxa"/>
            <w:tcBorders>
              <w:top w:val="single" w:color="auto" w:sz="4" w:space="0"/>
              <w:left w:val="single" w:color="auto" w:sz="4" w:space="0"/>
              <w:bottom w:val="single" w:color="auto" w:sz="4" w:space="0"/>
              <w:right w:val="single" w:color="auto" w:sz="4" w:space="0"/>
            </w:tcBorders>
          </w:tcPr>
          <w:p w14:paraId="5A806F30">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76719281">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7CCD581D">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4B1F1FBC">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67FB763E">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2B78166A">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0D4BDE8B">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1F1961D4">
            <w:pPr>
              <w:spacing w:line="360" w:lineRule="auto"/>
              <w:rPr>
                <w:rFonts w:ascii="仿宋" w:hAnsi="仿宋" w:eastAsia="仿宋" w:cs="仿宋"/>
                <w:color w:val="auto"/>
                <w:sz w:val="28"/>
                <w:szCs w:val="28"/>
                <w:highlight w:val="none"/>
              </w:rPr>
            </w:pPr>
          </w:p>
        </w:tc>
      </w:tr>
      <w:tr w14:paraId="1C43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89" w:type="dxa"/>
            <w:tcBorders>
              <w:top w:val="single" w:color="auto" w:sz="4" w:space="0"/>
              <w:left w:val="single" w:color="auto" w:sz="4" w:space="0"/>
              <w:bottom w:val="single" w:color="auto" w:sz="4" w:space="0"/>
              <w:right w:val="single" w:color="auto" w:sz="4" w:space="0"/>
            </w:tcBorders>
          </w:tcPr>
          <w:p w14:paraId="482D6E45">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6ADB5C78">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0873FD96">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74001DAB">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4C87679D">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05FFC887">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5132B290">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410FAB4F">
            <w:pPr>
              <w:spacing w:line="360" w:lineRule="auto"/>
              <w:rPr>
                <w:rFonts w:ascii="仿宋" w:hAnsi="仿宋" w:eastAsia="仿宋" w:cs="仿宋"/>
                <w:color w:val="auto"/>
                <w:sz w:val="28"/>
                <w:szCs w:val="28"/>
                <w:highlight w:val="none"/>
              </w:rPr>
            </w:pPr>
          </w:p>
        </w:tc>
      </w:tr>
    </w:tbl>
    <w:p w14:paraId="2BB73579">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w:t>
      </w:r>
    </w:p>
    <w:p w14:paraId="2FB00422">
      <w:pPr>
        <w:pStyle w:val="44"/>
        <w:jc w:val="both"/>
        <w:rPr>
          <w:rFonts w:ascii="仿宋" w:hAnsi="仿宋" w:eastAsia="仿宋" w:cs="仿宋"/>
          <w:b/>
          <w:color w:val="auto"/>
          <w:highlight w:val="none"/>
        </w:rPr>
      </w:pPr>
      <w:r>
        <w:rPr>
          <w:rFonts w:hint="eastAsia" w:ascii="仿宋" w:hAnsi="仿宋" w:eastAsia="仿宋" w:cs="仿宋"/>
          <w:b/>
          <w:color w:val="auto"/>
          <w:highlight w:val="none"/>
        </w:rPr>
        <w:t>.</w:t>
      </w:r>
    </w:p>
    <w:p w14:paraId="330E3463">
      <w:pPr>
        <w:spacing w:line="360" w:lineRule="auto"/>
        <w:ind w:left="48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主要人员简历表</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259"/>
        <w:gridCol w:w="976"/>
        <w:gridCol w:w="1501"/>
        <w:gridCol w:w="2267"/>
        <w:gridCol w:w="1337"/>
      </w:tblGrid>
      <w:tr w14:paraId="22C3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23C8F5B8">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2259" w:type="dxa"/>
            <w:tcBorders>
              <w:top w:val="single" w:color="auto" w:sz="4" w:space="0"/>
              <w:left w:val="single" w:color="auto" w:sz="4" w:space="0"/>
              <w:bottom w:val="single" w:color="auto" w:sz="4" w:space="0"/>
              <w:right w:val="single" w:color="auto" w:sz="4" w:space="0"/>
            </w:tcBorders>
            <w:vAlign w:val="center"/>
          </w:tcPr>
          <w:p w14:paraId="3A434C8E">
            <w:pPr>
              <w:jc w:val="center"/>
              <w:rPr>
                <w:rFonts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09E3C277">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1501" w:type="dxa"/>
            <w:tcBorders>
              <w:top w:val="single" w:color="auto" w:sz="4" w:space="0"/>
              <w:left w:val="single" w:color="auto" w:sz="4" w:space="0"/>
              <w:bottom w:val="single" w:color="auto" w:sz="4" w:space="0"/>
              <w:right w:val="single" w:color="auto" w:sz="4" w:space="0"/>
            </w:tcBorders>
            <w:vAlign w:val="center"/>
          </w:tcPr>
          <w:p w14:paraId="1938C92C">
            <w:pPr>
              <w:jc w:val="cente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45CD0B28">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1337" w:type="dxa"/>
            <w:tcBorders>
              <w:top w:val="single" w:color="auto" w:sz="4" w:space="0"/>
              <w:left w:val="single" w:color="auto" w:sz="4" w:space="0"/>
              <w:bottom w:val="single" w:color="auto" w:sz="4" w:space="0"/>
              <w:right w:val="single" w:color="auto" w:sz="4" w:space="0"/>
            </w:tcBorders>
            <w:vAlign w:val="center"/>
          </w:tcPr>
          <w:p w14:paraId="6D885A9D">
            <w:pPr>
              <w:jc w:val="center"/>
              <w:rPr>
                <w:rFonts w:ascii="仿宋" w:hAnsi="仿宋" w:eastAsia="仿宋" w:cs="仿宋"/>
                <w:color w:val="auto"/>
                <w:sz w:val="28"/>
                <w:szCs w:val="28"/>
                <w:highlight w:val="none"/>
              </w:rPr>
            </w:pPr>
          </w:p>
        </w:tc>
      </w:tr>
      <w:tr w14:paraId="5A19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78E11C41">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2259" w:type="dxa"/>
            <w:tcBorders>
              <w:top w:val="single" w:color="auto" w:sz="4" w:space="0"/>
              <w:left w:val="single" w:color="auto" w:sz="4" w:space="0"/>
              <w:bottom w:val="single" w:color="auto" w:sz="4" w:space="0"/>
              <w:right w:val="single" w:color="auto" w:sz="4" w:space="0"/>
            </w:tcBorders>
            <w:vAlign w:val="center"/>
          </w:tcPr>
          <w:p w14:paraId="2CB23665">
            <w:pPr>
              <w:jc w:val="center"/>
              <w:rPr>
                <w:rFonts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6F813B1E">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01" w:type="dxa"/>
            <w:tcBorders>
              <w:top w:val="single" w:color="auto" w:sz="4" w:space="0"/>
              <w:left w:val="single" w:color="auto" w:sz="4" w:space="0"/>
              <w:bottom w:val="single" w:color="auto" w:sz="4" w:space="0"/>
              <w:right w:val="single" w:color="auto" w:sz="4" w:space="0"/>
            </w:tcBorders>
            <w:vAlign w:val="center"/>
          </w:tcPr>
          <w:p w14:paraId="6CBA3DEA">
            <w:pPr>
              <w:jc w:val="cente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42F040D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拟在本合同任职</w:t>
            </w:r>
          </w:p>
        </w:tc>
        <w:tc>
          <w:tcPr>
            <w:tcW w:w="1337" w:type="dxa"/>
            <w:tcBorders>
              <w:top w:val="single" w:color="auto" w:sz="4" w:space="0"/>
              <w:left w:val="single" w:color="auto" w:sz="4" w:space="0"/>
              <w:bottom w:val="single" w:color="auto" w:sz="4" w:space="0"/>
              <w:right w:val="single" w:color="auto" w:sz="4" w:space="0"/>
            </w:tcBorders>
            <w:vAlign w:val="center"/>
          </w:tcPr>
          <w:p w14:paraId="5A19CA3A">
            <w:pPr>
              <w:jc w:val="center"/>
              <w:rPr>
                <w:rFonts w:ascii="仿宋" w:hAnsi="仿宋" w:eastAsia="仿宋" w:cs="仿宋"/>
                <w:color w:val="auto"/>
                <w:sz w:val="28"/>
                <w:szCs w:val="28"/>
                <w:highlight w:val="none"/>
              </w:rPr>
            </w:pPr>
          </w:p>
        </w:tc>
      </w:tr>
      <w:tr w14:paraId="1BFB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0" w:type="dxa"/>
            <w:gridSpan w:val="2"/>
            <w:tcBorders>
              <w:top w:val="single" w:color="auto" w:sz="4" w:space="0"/>
              <w:left w:val="single" w:color="auto" w:sz="4" w:space="0"/>
              <w:bottom w:val="single" w:color="auto" w:sz="4" w:space="0"/>
              <w:right w:val="single" w:color="auto" w:sz="4" w:space="0"/>
            </w:tcBorders>
            <w:vAlign w:val="center"/>
          </w:tcPr>
          <w:p w14:paraId="4A6C6ED0">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注册建造师执业资格等级</w:t>
            </w:r>
          </w:p>
        </w:tc>
        <w:tc>
          <w:tcPr>
            <w:tcW w:w="2477" w:type="dxa"/>
            <w:gridSpan w:val="2"/>
            <w:tcBorders>
              <w:top w:val="single" w:color="auto" w:sz="4" w:space="0"/>
              <w:left w:val="single" w:color="auto" w:sz="4" w:space="0"/>
              <w:bottom w:val="single" w:color="auto" w:sz="4" w:space="0"/>
              <w:right w:val="single" w:color="auto" w:sz="4" w:space="0"/>
            </w:tcBorders>
            <w:vAlign w:val="center"/>
          </w:tcPr>
          <w:p w14:paraId="7D8B955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级</w:t>
            </w:r>
          </w:p>
        </w:tc>
        <w:tc>
          <w:tcPr>
            <w:tcW w:w="3604" w:type="dxa"/>
            <w:gridSpan w:val="2"/>
            <w:tcBorders>
              <w:top w:val="single" w:color="auto" w:sz="4" w:space="0"/>
              <w:left w:val="single" w:color="auto" w:sz="4" w:space="0"/>
              <w:bottom w:val="single" w:color="auto" w:sz="4" w:space="0"/>
              <w:right w:val="single" w:color="auto" w:sz="4" w:space="0"/>
            </w:tcBorders>
            <w:vAlign w:val="center"/>
          </w:tcPr>
          <w:p w14:paraId="45C9E099">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建造师专业</w:t>
            </w:r>
          </w:p>
        </w:tc>
      </w:tr>
      <w:tr w14:paraId="5DD0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676" w:type="dxa"/>
            <w:gridSpan w:val="3"/>
            <w:tcBorders>
              <w:top w:val="single" w:color="auto" w:sz="4" w:space="0"/>
              <w:left w:val="single" w:color="auto" w:sz="4" w:space="0"/>
              <w:bottom w:val="single" w:color="auto" w:sz="4" w:space="0"/>
              <w:right w:val="single" w:color="auto" w:sz="4" w:space="0"/>
            </w:tcBorders>
            <w:vAlign w:val="center"/>
          </w:tcPr>
          <w:p w14:paraId="35CDC58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安全生产考核合格证书</w:t>
            </w:r>
          </w:p>
        </w:tc>
        <w:tc>
          <w:tcPr>
            <w:tcW w:w="5105" w:type="dxa"/>
            <w:gridSpan w:val="3"/>
            <w:tcBorders>
              <w:top w:val="single" w:color="auto" w:sz="4" w:space="0"/>
              <w:left w:val="single" w:color="auto" w:sz="4" w:space="0"/>
              <w:bottom w:val="single" w:color="auto" w:sz="4" w:space="0"/>
              <w:right w:val="single" w:color="auto" w:sz="4" w:space="0"/>
            </w:tcBorders>
            <w:vAlign w:val="center"/>
          </w:tcPr>
          <w:p w14:paraId="49610DA4">
            <w:pPr>
              <w:jc w:val="center"/>
              <w:rPr>
                <w:rFonts w:ascii="仿宋" w:hAnsi="仿宋" w:eastAsia="仿宋" w:cs="仿宋"/>
                <w:color w:val="auto"/>
                <w:sz w:val="28"/>
                <w:szCs w:val="28"/>
                <w:highlight w:val="none"/>
              </w:rPr>
            </w:pPr>
          </w:p>
        </w:tc>
      </w:tr>
      <w:tr w14:paraId="083F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4450E2E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毕业学校</w:t>
            </w:r>
          </w:p>
        </w:tc>
        <w:tc>
          <w:tcPr>
            <w:tcW w:w="8340" w:type="dxa"/>
            <w:gridSpan w:val="5"/>
            <w:tcBorders>
              <w:top w:val="single" w:color="auto" w:sz="4" w:space="0"/>
              <w:left w:val="single" w:color="auto" w:sz="4" w:space="0"/>
              <w:bottom w:val="single" w:color="auto" w:sz="4" w:space="0"/>
              <w:right w:val="single" w:color="auto" w:sz="4" w:space="0"/>
            </w:tcBorders>
            <w:vAlign w:val="center"/>
          </w:tcPr>
          <w:p w14:paraId="693E97A6">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年毕业于            学校              专业</w:t>
            </w:r>
          </w:p>
        </w:tc>
      </w:tr>
      <w:tr w14:paraId="7EEB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781" w:type="dxa"/>
            <w:gridSpan w:val="6"/>
            <w:tcBorders>
              <w:top w:val="single" w:color="auto" w:sz="4" w:space="0"/>
              <w:left w:val="single" w:color="auto" w:sz="4" w:space="0"/>
              <w:bottom w:val="single" w:color="auto" w:sz="4" w:space="0"/>
              <w:right w:val="single" w:color="auto" w:sz="4" w:space="0"/>
            </w:tcBorders>
            <w:vAlign w:val="center"/>
          </w:tcPr>
          <w:p w14:paraId="069A654F">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主要工作经历</w:t>
            </w:r>
          </w:p>
        </w:tc>
      </w:tr>
      <w:tr w14:paraId="3EDF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0A3511FE">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p>
        </w:tc>
        <w:tc>
          <w:tcPr>
            <w:tcW w:w="3235" w:type="dxa"/>
            <w:gridSpan w:val="2"/>
            <w:tcBorders>
              <w:top w:val="single" w:color="auto" w:sz="4" w:space="0"/>
              <w:left w:val="single" w:color="auto" w:sz="4" w:space="0"/>
              <w:bottom w:val="single" w:color="auto" w:sz="4" w:space="0"/>
              <w:right w:val="single" w:color="auto" w:sz="4" w:space="0"/>
            </w:tcBorders>
            <w:vAlign w:val="center"/>
          </w:tcPr>
          <w:p w14:paraId="5EEBDEC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参加过的类似项目</w:t>
            </w:r>
          </w:p>
        </w:tc>
        <w:tc>
          <w:tcPr>
            <w:tcW w:w="1501" w:type="dxa"/>
            <w:tcBorders>
              <w:top w:val="single" w:color="auto" w:sz="4" w:space="0"/>
              <w:left w:val="single" w:color="auto" w:sz="4" w:space="0"/>
              <w:bottom w:val="single" w:color="auto" w:sz="4" w:space="0"/>
              <w:right w:val="single" w:color="auto" w:sz="4" w:space="0"/>
            </w:tcBorders>
            <w:vAlign w:val="center"/>
          </w:tcPr>
          <w:p w14:paraId="55F0924B">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工程情况说明</w:t>
            </w:r>
          </w:p>
        </w:tc>
        <w:tc>
          <w:tcPr>
            <w:tcW w:w="3604" w:type="dxa"/>
            <w:gridSpan w:val="2"/>
            <w:tcBorders>
              <w:top w:val="single" w:color="auto" w:sz="4" w:space="0"/>
              <w:left w:val="single" w:color="auto" w:sz="4" w:space="0"/>
              <w:bottom w:val="single" w:color="auto" w:sz="4" w:space="0"/>
              <w:right w:val="single" w:color="auto" w:sz="4" w:space="0"/>
            </w:tcBorders>
            <w:vAlign w:val="center"/>
          </w:tcPr>
          <w:p w14:paraId="7085F840">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发包人及联系电话</w:t>
            </w:r>
          </w:p>
        </w:tc>
      </w:tr>
      <w:tr w14:paraId="39FF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41" w:type="dxa"/>
            <w:tcBorders>
              <w:top w:val="single" w:color="auto" w:sz="4" w:space="0"/>
              <w:left w:val="single" w:color="auto" w:sz="4" w:space="0"/>
              <w:bottom w:val="single" w:color="auto" w:sz="4" w:space="0"/>
              <w:right w:val="single" w:color="auto" w:sz="4" w:space="0"/>
            </w:tcBorders>
          </w:tcPr>
          <w:p w14:paraId="4D10C752">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5AE4658A">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12529238">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34E265FF">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0D52883A">
            <w:pPr>
              <w:rPr>
                <w:rFonts w:ascii="仿宋" w:hAnsi="仿宋" w:eastAsia="仿宋" w:cs="仿宋"/>
                <w:color w:val="auto"/>
                <w:sz w:val="28"/>
                <w:szCs w:val="28"/>
                <w:highlight w:val="none"/>
              </w:rPr>
            </w:pPr>
          </w:p>
        </w:tc>
      </w:tr>
      <w:tr w14:paraId="5047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724C1A70">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27A5E4E2">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2F7001A9">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67A274D0">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49A20BE4">
            <w:pPr>
              <w:rPr>
                <w:rFonts w:ascii="仿宋" w:hAnsi="仿宋" w:eastAsia="仿宋" w:cs="仿宋"/>
                <w:color w:val="auto"/>
                <w:sz w:val="28"/>
                <w:szCs w:val="28"/>
                <w:highlight w:val="none"/>
              </w:rPr>
            </w:pPr>
          </w:p>
        </w:tc>
      </w:tr>
      <w:tr w14:paraId="3795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1C23BF7F">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4C023742">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2E7CA640">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14EA2E13">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7EB5A7F7">
            <w:pPr>
              <w:rPr>
                <w:rFonts w:ascii="仿宋" w:hAnsi="仿宋" w:eastAsia="仿宋" w:cs="仿宋"/>
                <w:color w:val="auto"/>
                <w:sz w:val="28"/>
                <w:szCs w:val="28"/>
                <w:highlight w:val="none"/>
              </w:rPr>
            </w:pPr>
          </w:p>
        </w:tc>
      </w:tr>
      <w:tr w14:paraId="5FAC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43D13C2E">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60FBFE9F">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7380F374">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711CC9C0">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4BEFDBB3">
            <w:pPr>
              <w:rPr>
                <w:rFonts w:ascii="仿宋" w:hAnsi="仿宋" w:eastAsia="仿宋" w:cs="仿宋"/>
                <w:color w:val="auto"/>
                <w:sz w:val="28"/>
                <w:szCs w:val="28"/>
                <w:highlight w:val="none"/>
              </w:rPr>
            </w:pPr>
          </w:p>
        </w:tc>
      </w:tr>
    </w:tbl>
    <w:p w14:paraId="170DE596">
      <w:pPr>
        <w:rPr>
          <w:rFonts w:hint="eastAsia"/>
          <w:color w:val="auto"/>
          <w:highlight w:val="none"/>
          <w:lang w:val="en-US"/>
        </w:rPr>
      </w:pPr>
      <w:r>
        <w:rPr>
          <w:rFonts w:hint="eastAsia" w:ascii="仿宋" w:hAnsi="仿宋" w:eastAsia="仿宋" w:cs="仿宋"/>
          <w:b/>
          <w:bCs/>
          <w:color w:val="auto"/>
          <w:sz w:val="28"/>
          <w:szCs w:val="28"/>
          <w:highlight w:val="none"/>
        </w:rPr>
        <w:t>附证书扫描件</w:t>
      </w:r>
    </w:p>
    <w:p w14:paraId="2B0175A8">
      <w:pPr>
        <w:pStyle w:val="26"/>
        <w:ind w:right="-21" w:firstLine="0" w:firstLineChars="0"/>
        <w:jc w:val="righ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正/副本</w:t>
      </w:r>
    </w:p>
    <w:p w14:paraId="4B5D3586">
      <w:pPr>
        <w:jc w:val="left"/>
        <w:rPr>
          <w:rFonts w:ascii="楷体_GB2312" w:eastAsia="楷体_GB2312" w:cs="楷体_GB2312"/>
          <w:color w:val="auto"/>
          <w:sz w:val="18"/>
          <w:szCs w:val="22"/>
          <w:highlight w:val="none"/>
        </w:rPr>
      </w:pPr>
    </w:p>
    <w:p w14:paraId="45A022B2">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益民、朝阳小区公租房装修改造外墙及屋面防水工程</w:t>
      </w:r>
    </w:p>
    <w:p w14:paraId="42091658">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p>
    <w:p w14:paraId="04985AC4">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响应文件</w:t>
      </w:r>
    </w:p>
    <w:p w14:paraId="4A7D5142">
      <w:pPr>
        <w:pStyle w:val="8"/>
        <w:adjustRightInd w:val="0"/>
        <w:snapToGrid w:val="0"/>
        <w:spacing w:before="48" w:beforeLines="20" w:after="48" w:afterLines="20" w:line="360" w:lineRule="auto"/>
        <w:ind w:right="-4" w:rightChars="-2" w:firstLine="4200" w:firstLineChars="1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项目编号：xxxx</w:t>
      </w:r>
    </w:p>
    <w:p w14:paraId="24B03E99">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p>
    <w:p w14:paraId="1354A819">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1"/>
          <w:szCs w:val="24"/>
          <w:highlight w:val="none"/>
        </w:rPr>
      </w:pPr>
    </w:p>
    <w:p w14:paraId="4C4E8BB3">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35698944">
      <w:pPr>
        <w:rPr>
          <w:rFonts w:hint="eastAsia" w:ascii="宋体" w:hAnsi="宋体" w:eastAsia="宋体" w:cs="宋体"/>
          <w:color w:val="auto"/>
          <w:highlight w:val="none"/>
        </w:rPr>
      </w:pPr>
    </w:p>
    <w:p w14:paraId="58A6A743">
      <w:pPr>
        <w:pStyle w:val="44"/>
        <w:rPr>
          <w:rFonts w:hint="eastAsia" w:ascii="宋体" w:hAnsi="宋体" w:eastAsia="宋体" w:cs="宋体"/>
          <w:color w:val="auto"/>
          <w:highlight w:val="none"/>
        </w:rPr>
      </w:pPr>
    </w:p>
    <w:p w14:paraId="52D1D3F5">
      <w:pPr>
        <w:pStyle w:val="8"/>
        <w:adjustRightInd w:val="0"/>
        <w:snapToGrid w:val="0"/>
        <w:spacing w:before="48" w:beforeLines="20" w:after="48" w:afterLines="20" w:line="360" w:lineRule="auto"/>
        <w:ind w:right="-4" w:rightChars="-2"/>
        <w:jc w:val="both"/>
        <w:rPr>
          <w:rFonts w:hint="eastAsia" w:ascii="宋体" w:hAnsi="宋体" w:eastAsia="宋体" w:cs="宋体"/>
          <w:color w:val="auto"/>
          <w:highlight w:val="none"/>
        </w:rPr>
      </w:pPr>
    </w:p>
    <w:p w14:paraId="631C68D3">
      <w:pPr>
        <w:rPr>
          <w:rFonts w:hint="eastAsia" w:ascii="宋体" w:hAnsi="宋体" w:eastAsia="宋体" w:cs="宋体"/>
          <w:color w:val="auto"/>
          <w:highlight w:val="none"/>
        </w:rPr>
      </w:pPr>
    </w:p>
    <w:p w14:paraId="325A6311">
      <w:pPr>
        <w:pStyle w:val="44"/>
        <w:rPr>
          <w:rFonts w:hint="eastAsia" w:ascii="宋体" w:hAnsi="宋体" w:eastAsia="宋体" w:cs="宋体"/>
          <w:color w:val="auto"/>
          <w:highlight w:val="none"/>
        </w:rPr>
      </w:pPr>
    </w:p>
    <w:p w14:paraId="130BEF39">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5D945DBD">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p>
    <w:p w14:paraId="6A4B8155">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响应文件内容：</w:t>
      </w:r>
      <w:r>
        <w:rPr>
          <w:rFonts w:hint="eastAsia" w:ascii="宋体" w:hAnsi="宋体" w:eastAsia="宋体" w:cs="宋体"/>
          <w:b/>
          <w:bCs/>
          <w:color w:val="auto"/>
          <w:sz w:val="28"/>
          <w:szCs w:val="28"/>
          <w:highlight w:val="none"/>
          <w:u w:val="single"/>
        </w:rPr>
        <w:tab/>
      </w:r>
      <w:r>
        <w:rPr>
          <w:rFonts w:hint="eastAsia" w:ascii="宋体" w:hAnsi="宋体" w:eastAsia="宋体" w:cs="宋体"/>
          <w:b/>
          <w:bCs/>
          <w:color w:val="auto"/>
          <w:sz w:val="28"/>
          <w:szCs w:val="28"/>
          <w:highlight w:val="none"/>
          <w:u w:val="single"/>
        </w:rPr>
        <w:t xml:space="preserve">         技术标               </w:t>
      </w:r>
      <w:r>
        <w:rPr>
          <w:rFonts w:hint="eastAsia" w:ascii="宋体" w:hAnsi="宋体" w:eastAsia="宋体" w:cs="宋体"/>
          <w:b/>
          <w:bCs/>
          <w:color w:val="auto"/>
          <w:sz w:val="28"/>
          <w:szCs w:val="28"/>
          <w:highlight w:val="none"/>
          <w:u w:val="single"/>
        </w:rPr>
        <w:tab/>
      </w:r>
    </w:p>
    <w:p w14:paraId="6758A4A4">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供 应 商：</w:t>
      </w:r>
      <w:r>
        <w:rPr>
          <w:rFonts w:hint="eastAsia" w:ascii="宋体" w:hAnsi="宋体" w:eastAsia="宋体" w:cs="宋体"/>
          <w:b/>
          <w:bCs/>
          <w:color w:val="auto"/>
          <w:sz w:val="28"/>
          <w:szCs w:val="28"/>
          <w:highlight w:val="none"/>
          <w:u w:val="single"/>
        </w:rPr>
        <w:t xml:space="preserve">            （盖章）                   </w:t>
      </w:r>
    </w:p>
    <w:p w14:paraId="62BBBDB7">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（签字或盖章）      </w:t>
      </w:r>
    </w:p>
    <w:p w14:paraId="5C14232E">
      <w:pPr>
        <w:adjustRightInd w:val="0"/>
        <w:snapToGrid w:val="0"/>
        <w:spacing w:before="48" w:beforeLines="20" w:after="48" w:afterLines="20" w:line="360" w:lineRule="auto"/>
        <w:ind w:right="-4" w:rightChars="-2" w:firstLine="1124"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1C5C016D">
      <w:pPr>
        <w:pStyle w:val="4"/>
        <w:widowControl/>
        <w:autoSpaceDE w:val="0"/>
        <w:autoSpaceDN w:val="0"/>
        <w:spacing w:line="360" w:lineRule="auto"/>
        <w:ind w:left="0"/>
        <w:jc w:val="center"/>
        <w:rPr>
          <w:rFonts w:hint="eastAsia" w:ascii="仿宋" w:hAnsi="仿宋" w:eastAsia="仿宋" w:cs="仿宋"/>
          <w:color w:val="auto"/>
          <w:sz w:val="32"/>
          <w:szCs w:val="32"/>
          <w:highlight w:val="none"/>
          <w:lang w:val="en-US"/>
        </w:rPr>
      </w:pPr>
    </w:p>
    <w:p w14:paraId="10755423">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1、信誉要求</w:t>
      </w:r>
    </w:p>
    <w:p w14:paraId="5D5D971B">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（格式自拟）</w:t>
      </w:r>
    </w:p>
    <w:p w14:paraId="48C60640">
      <w:pPr>
        <w:jc w:val="center"/>
        <w:rPr>
          <w:rFonts w:ascii="宋体" w:hAnsi="宋体"/>
          <w:b/>
          <w:bCs/>
          <w:color w:val="auto"/>
          <w:sz w:val="32"/>
          <w:szCs w:val="32"/>
          <w:highlight w:val="none"/>
        </w:rPr>
      </w:pPr>
    </w:p>
    <w:p w14:paraId="3CE54093">
      <w:pPr>
        <w:spacing w:line="360" w:lineRule="auto"/>
        <w:jc w:val="center"/>
        <w:rPr>
          <w:rFonts w:ascii="仿宋" w:hAnsi="仿宋" w:eastAsia="仿宋" w:cs="仿宋"/>
          <w:color w:val="auto"/>
          <w:sz w:val="32"/>
          <w:szCs w:val="32"/>
          <w:highlight w:val="none"/>
          <w:u w:val="single"/>
        </w:rPr>
      </w:pPr>
      <w:r>
        <w:rPr>
          <w:rFonts w:hint="eastAsia" w:ascii="仿宋" w:hAnsi="仿宋" w:eastAsia="仿宋" w:cs="仿宋"/>
          <w:b/>
          <w:bCs/>
          <w:color w:val="auto"/>
          <w:sz w:val="32"/>
          <w:szCs w:val="32"/>
          <w:highlight w:val="none"/>
        </w:rPr>
        <w:t>信誉承诺书</w:t>
      </w:r>
    </w:p>
    <w:p w14:paraId="30DCEA50">
      <w:pPr>
        <w:autoSpaceDE w:val="0"/>
        <w:autoSpaceDN w:val="0"/>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本企业郑重承诺：</w:t>
      </w:r>
    </w:p>
    <w:p w14:paraId="4E6E0D4A">
      <w:pPr>
        <w:widowControl/>
        <w:autoSpaceDE w:val="0"/>
        <w:autoSpaceDN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我公司在投标截止时间前不存在以下几种情形，否则我公司将接受联合惩戒，中标无效，并赔偿对采购人采购失败的经济损失：</w:t>
      </w:r>
    </w:p>
    <w:p w14:paraId="3BA19709">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1.被最高人民法院在“中国执行信息公开网”网站（http://zxgk.court.gov.cn）列为失信被执行人；</w:t>
      </w:r>
    </w:p>
    <w:p w14:paraId="1336D9EF">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2.被国家市场监督管理部门在国家企业信用信息公示系统（www.gsxt.gov.cn）中列入严重违法失信企业名单；</w:t>
      </w:r>
    </w:p>
    <w:p w14:paraId="5840F3FA">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3.被国家税务总局列入“重大税收违法案件当事人”名单；</w:t>
      </w:r>
    </w:p>
    <w:p w14:paraId="64E791B9">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4.被全国建筑市场监管公共服务平台（jzsc.mohurd.gov.cn）列入“黑名单记录”。</w:t>
      </w:r>
    </w:p>
    <w:p w14:paraId="2C40CA97">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5.</w:t>
      </w:r>
      <w:r>
        <w:rPr>
          <w:rFonts w:hint="eastAsia" w:ascii="仿宋" w:hAnsi="仿宋" w:eastAsia="仿宋" w:cs="仿宋"/>
          <w:color w:val="auto"/>
          <w:sz w:val="28"/>
          <w:szCs w:val="28"/>
          <w:highlight w:val="none"/>
        </w:rPr>
        <w:t>被中国政府采购网（www.ccgp.gov.cn）列入“政府采购严重违法失信行为记录名单”</w:t>
      </w:r>
    </w:p>
    <w:p w14:paraId="14C0C978">
      <w:pPr>
        <w:autoSpaceDE w:val="0"/>
        <w:autoSpaceDN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我公司承诺信誉完全响应招标文件内容要求，同时不存在采购文件中规定的供应商不得存在的情形。</w:t>
      </w:r>
    </w:p>
    <w:p w14:paraId="050C1159">
      <w:pPr>
        <w:spacing w:line="360" w:lineRule="auto"/>
        <w:ind w:firstLine="5880" w:firstLineChars="21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供应商（盖章）：         </w:t>
      </w:r>
    </w:p>
    <w:p w14:paraId="174EC892">
      <w:pPr>
        <w:pStyle w:val="25"/>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14:paraId="22337EDC">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E2FF87F">
      <w:pPr>
        <w:spacing w:line="360" w:lineRule="auto"/>
        <w:jc w:val="left"/>
        <w:rPr>
          <w:rFonts w:hint="eastAsia" w:ascii="仿宋" w:hAnsi="仿宋" w:eastAsia="仿宋" w:cs="仿宋"/>
          <w:color w:val="auto"/>
          <w:sz w:val="28"/>
          <w:szCs w:val="28"/>
          <w:highlight w:val="none"/>
          <w:lang w:val="en-US"/>
        </w:rPr>
      </w:pPr>
    </w:p>
    <w:p w14:paraId="4AD64C97">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2、施工组织设计</w:t>
      </w:r>
    </w:p>
    <w:p w14:paraId="3BE85251">
      <w:pPr>
        <w:jc w:val="center"/>
        <w:rPr>
          <w:rFonts w:hint="eastAsia" w:ascii="仿宋" w:hAnsi="仿宋" w:eastAsia="仿宋" w:cs="仿宋"/>
          <w:b/>
          <w:bCs/>
          <w:color w:val="auto"/>
          <w:sz w:val="32"/>
          <w:szCs w:val="32"/>
          <w:highlight w:val="none"/>
        </w:rPr>
      </w:pPr>
    </w:p>
    <w:p w14:paraId="1A50B4AB">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rPr>
        <w:t>、中小企业声明函</w:t>
      </w:r>
    </w:p>
    <w:p w14:paraId="53A8A5B2">
      <w:pPr>
        <w:rPr>
          <w:rFonts w:ascii="仿宋" w:hAnsi="仿宋" w:eastAsia="仿宋" w:cs="仿宋"/>
          <w:color w:val="auto"/>
          <w:highlight w:val="none"/>
        </w:rPr>
      </w:pPr>
    </w:p>
    <w:p w14:paraId="3836A3C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本公司郑重声明，根据《政府采购促进中小企业发展管理办法》（财库（2020)46 号）的规定，本公司（联合体）参加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（单位名称）的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（项目名称）采购活动，工程的施工单位全部为符合政策要求的中小企业。相关企业（含联合体中的中小企业、签订分包意向协议的中小企业）的具体情况如下：</w:t>
      </w:r>
    </w:p>
    <w:p w14:paraId="3AD38BF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1、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55B20C9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2、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08A6A0A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3、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2A7A89C4">
      <w:pPr>
        <w:spacing w:line="360" w:lineRule="auto"/>
        <w:ind w:firstLine="480" w:firstLineChars="200"/>
        <w:rPr>
          <w:rFonts w:ascii="仿宋" w:hAnsi="仿宋" w:eastAsia="仿宋" w:cs="仿宋"/>
          <w:color w:val="auto"/>
          <w:sz w:val="24"/>
          <w:highlight w:val="none"/>
        </w:rPr>
      </w:pPr>
    </w:p>
    <w:p w14:paraId="4EE047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55B0A48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76E57DC6">
      <w:pPr>
        <w:spacing w:line="360" w:lineRule="auto"/>
        <w:ind w:firstLine="6480" w:firstLineChars="2700"/>
        <w:rPr>
          <w:rFonts w:ascii="仿宋" w:hAnsi="仿宋" w:eastAsia="仿宋" w:cs="仿宋"/>
          <w:color w:val="auto"/>
          <w:sz w:val="24"/>
          <w:highlight w:val="none"/>
        </w:rPr>
      </w:pPr>
    </w:p>
    <w:p w14:paraId="408C5005">
      <w:pPr>
        <w:pStyle w:val="8"/>
        <w:tabs>
          <w:tab w:val="left" w:pos="5914"/>
          <w:tab w:val="left" w:pos="7985"/>
        </w:tabs>
        <w:spacing w:before="160" w:line="362" w:lineRule="auto"/>
        <w:ind w:left="4473" w:right="874" w:hanging="24"/>
        <w:rPr>
          <w:rFonts w:ascii="仿宋" w:hAnsi="仿宋" w:eastAsia="仿宋" w:cs="仿宋"/>
          <w:color w:val="auto"/>
          <w:sz w:val="21"/>
          <w:highlight w:val="none"/>
        </w:rPr>
      </w:pPr>
      <w:r>
        <w:rPr>
          <w:rFonts w:hint="eastAsia" w:ascii="仿宋" w:hAnsi="仿宋" w:eastAsia="仿宋" w:cs="仿宋"/>
          <w:color w:val="auto"/>
          <w:highlight w:val="none"/>
        </w:rPr>
        <w:t>供应商电子签章：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r>
        <w:rPr>
          <w:rFonts w:hint="eastAsia" w:ascii="仿宋" w:hAnsi="仿宋" w:eastAsia="仿宋" w:cs="仿宋"/>
          <w:color w:val="auto"/>
          <w:highlight w:val="none"/>
        </w:rPr>
        <w:tab/>
      </w:r>
      <w:r>
        <w:rPr>
          <w:rFonts w:hint="eastAsia" w:ascii="仿宋" w:hAnsi="仿宋" w:eastAsia="仿宋" w:cs="仿宋"/>
          <w:color w:val="auto"/>
          <w:highlight w:val="none"/>
        </w:rPr>
        <w:t>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1"/>
          <w:highlight w:val="none"/>
          <w:u w:val="single"/>
        </w:rPr>
        <w:t xml:space="preserve"> </w:t>
      </w:r>
    </w:p>
    <w:p w14:paraId="4AB95A35">
      <w:pPr>
        <w:spacing w:line="360" w:lineRule="auto"/>
        <w:rPr>
          <w:rFonts w:ascii="仿宋" w:hAnsi="仿宋" w:eastAsia="仿宋" w:cs="仿宋"/>
          <w:color w:val="auto"/>
          <w:sz w:val="24"/>
          <w:highlight w:val="none"/>
        </w:rPr>
      </w:pPr>
    </w:p>
    <w:p w14:paraId="13DD1D56">
      <w:pPr>
        <w:spacing w:before="156" w:beforeLines="50" w:after="156" w:afterLines="50" w:line="360" w:lineRule="auto"/>
        <w:ind w:firstLine="480" w:firstLineChars="200"/>
        <w:rPr>
          <w:rFonts w:ascii="仿宋" w:hAnsi="仿宋" w:eastAsia="仿宋" w:cs="仿宋"/>
          <w:color w:val="auto"/>
          <w:sz w:val="22"/>
          <w:szCs w:val="22"/>
          <w:highlight w:val="none"/>
        </w:rPr>
      </w:pPr>
      <w:r>
        <w:rPr>
          <w:rFonts w:hint="eastAsia" w:ascii="仿宋" w:hAnsi="仿宋" w:eastAsia="仿宋" w:cs="仿宋"/>
          <w:color w:val="auto"/>
          <w:sz w:val="24"/>
          <w:highlight w:val="none"/>
        </w:rPr>
        <w:t>（从业人员、营业收入、资产总额填报上一年度数据，无上一年度数据的新成立企业可不填报。）</w:t>
      </w:r>
    </w:p>
    <w:p w14:paraId="08AFAFBE">
      <w:pPr>
        <w:pStyle w:val="8"/>
        <w:rPr>
          <w:rFonts w:ascii="仿宋" w:hAnsi="仿宋" w:eastAsia="仿宋" w:cs="仿宋"/>
          <w:color w:val="auto"/>
          <w:sz w:val="20"/>
          <w:szCs w:val="24"/>
          <w:highlight w:val="none"/>
        </w:rPr>
      </w:pPr>
    </w:p>
    <w:p w14:paraId="743C4D47">
      <w:pPr>
        <w:pStyle w:val="8"/>
        <w:spacing w:before="9"/>
        <w:rPr>
          <w:rFonts w:ascii="仿宋" w:hAnsi="仿宋" w:eastAsia="仿宋" w:cs="仿宋"/>
          <w:color w:val="auto"/>
          <w:sz w:val="20"/>
          <w:highlight w:val="none"/>
        </w:rPr>
      </w:pPr>
    </w:p>
    <w:p w14:paraId="0BCE5AA1">
      <w:pPr>
        <w:rPr>
          <w:rFonts w:ascii="仿宋" w:hAnsi="仿宋" w:eastAsia="仿宋" w:cs="仿宋"/>
          <w:color w:val="auto"/>
          <w:highlight w:val="none"/>
        </w:rPr>
      </w:pPr>
      <w:r>
        <w:rPr>
          <w:rFonts w:hint="eastAsia" w:ascii="仿宋" w:hAnsi="仿宋" w:eastAsia="仿宋" w:cs="仿宋"/>
          <w:color w:val="auto"/>
          <w:highlight w:val="none"/>
        </w:rPr>
        <w:br w:type="page"/>
      </w:r>
    </w:p>
    <w:p w14:paraId="08D18917">
      <w:pPr>
        <w:jc w:val="center"/>
        <w:rPr>
          <w:rFonts w:ascii="Calibri" w:hAnsi="Calibri" w:eastAsia="宋体" w:cs="Times New Roman"/>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Calibri" w:hAnsi="Calibri" w:eastAsia="宋体" w:cs="Times New Roman"/>
          <w:color w:val="auto"/>
          <w:sz w:val="28"/>
          <w:szCs w:val="28"/>
          <w:highlight w:val="none"/>
        </w:rPr>
        <w:t>残疾人福利性单位声明函</w:t>
      </w:r>
    </w:p>
    <w:p w14:paraId="1B519A9C">
      <w:pPr>
        <w:ind w:firstLine="560" w:firstLineChars="2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本单位郑重声明，根据《财政部 民政部 中国残疾人联合会关于促进残疾人就业政府采购政策的通知》（财库</w:t>
      </w:r>
      <w:r>
        <w:rPr>
          <w:rFonts w:hint="eastAsia" w:ascii="仿宋_GB2312" w:hAnsi="宋体" w:eastAsia="仿宋_GB2312" w:cs="Times New Roman"/>
          <w:color w:val="auto"/>
          <w:sz w:val="28"/>
          <w:szCs w:val="28"/>
          <w:highlight w:val="none"/>
        </w:rPr>
        <w:t>〔</w:t>
      </w:r>
      <w:r>
        <w:rPr>
          <w:rFonts w:hint="eastAsia" w:ascii="仿宋_GB2312" w:hAnsi="Calibri" w:eastAsia="仿宋_GB2312" w:cs="Times New Roman"/>
          <w:color w:val="auto"/>
          <w:sz w:val="28"/>
          <w:szCs w:val="28"/>
          <w:highlight w:val="none"/>
        </w:rPr>
        <w:t>2017</w:t>
      </w:r>
      <w:r>
        <w:rPr>
          <w:rFonts w:hint="eastAsia" w:ascii="仿宋_GB2312" w:hAnsi="宋体" w:eastAsia="仿宋_GB2312" w:cs="Times New Roman"/>
          <w:color w:val="auto"/>
          <w:sz w:val="28"/>
          <w:szCs w:val="28"/>
          <w:highlight w:val="none"/>
        </w:rPr>
        <w:t>〕</w:t>
      </w:r>
      <w:r>
        <w:rPr>
          <w:rFonts w:hint="eastAsia" w:ascii="仿宋_GB2312" w:hAnsi="Calibri" w:eastAsia="仿宋_GB2312" w:cs="Times New Roman"/>
          <w:color w:val="auto"/>
          <w:sz w:val="28"/>
          <w:szCs w:val="28"/>
          <w:highlight w:val="none"/>
        </w:rPr>
        <w:t xml:space="preserve"> 141号)的规定，本单位为符合条件的残疾人福利性单位，且本单位参加</w:t>
      </w:r>
      <w:r>
        <w:rPr>
          <w:rFonts w:hint="eastAsia" w:ascii="仿宋_GB2312" w:hAnsi="Calibri" w:eastAsia="仿宋_GB2312" w:cs="Times New Roman"/>
          <w:color w:val="auto"/>
          <w:sz w:val="28"/>
          <w:szCs w:val="28"/>
          <w:highlight w:val="none"/>
          <w:u w:val="single"/>
        </w:rPr>
        <w:t xml:space="preserve">        </w:t>
      </w:r>
      <w:r>
        <w:rPr>
          <w:rFonts w:hint="eastAsia" w:ascii="仿宋_GB2312" w:hAnsi="Calibri" w:eastAsia="仿宋_GB2312" w:cs="Times New Roman"/>
          <w:color w:val="auto"/>
          <w:sz w:val="28"/>
          <w:szCs w:val="28"/>
          <w:highlight w:val="none"/>
        </w:rPr>
        <w:t>单位的</w:t>
      </w:r>
      <w:r>
        <w:rPr>
          <w:rFonts w:hint="eastAsia" w:ascii="仿宋_GB2312" w:hAnsi="Calibri" w:eastAsia="仿宋_GB2312" w:cs="Times New Roman"/>
          <w:color w:val="auto"/>
          <w:sz w:val="28"/>
          <w:szCs w:val="28"/>
          <w:highlight w:val="none"/>
          <w:u w:val="single"/>
        </w:rPr>
        <w:t xml:space="preserve">          </w:t>
      </w:r>
      <w:r>
        <w:rPr>
          <w:rFonts w:hint="eastAsia" w:ascii="仿宋_GB2312" w:hAnsi="Calibri" w:eastAsia="仿宋_GB2312" w:cs="Times New Roman"/>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6FE29BAB">
      <w:pPr>
        <w:ind w:firstLine="560" w:firstLineChars="2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本单位对上述声明的真实性负责。如有虚假，将依法承担相应责任。</w:t>
      </w:r>
    </w:p>
    <w:p w14:paraId="0891C762">
      <w:pPr>
        <w:rPr>
          <w:rFonts w:ascii="仿宋_GB2312" w:hAnsi="Calibri" w:eastAsia="仿宋_GB2312" w:cs="Times New Roman"/>
          <w:color w:val="auto"/>
          <w:sz w:val="28"/>
          <w:szCs w:val="28"/>
          <w:highlight w:val="none"/>
        </w:rPr>
      </w:pPr>
    </w:p>
    <w:p w14:paraId="1760E1F4">
      <w:pPr>
        <w:rPr>
          <w:rFonts w:ascii="仿宋_GB2312" w:hAnsi="Calibri" w:eastAsia="仿宋_GB2312" w:cs="Times New Roman"/>
          <w:color w:val="auto"/>
          <w:sz w:val="28"/>
          <w:szCs w:val="28"/>
          <w:highlight w:val="none"/>
        </w:rPr>
      </w:pPr>
    </w:p>
    <w:p w14:paraId="5B0466FF">
      <w:pPr>
        <w:ind w:firstLine="3595" w:firstLineChars="1284"/>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单位名称（盖章）：</w:t>
      </w:r>
    </w:p>
    <w:p w14:paraId="20F4B78E">
      <w:pPr>
        <w:ind w:firstLine="5040" w:firstLineChars="18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日期：</w:t>
      </w:r>
    </w:p>
    <w:p w14:paraId="618FF47D">
      <w:pPr>
        <w:pStyle w:val="4"/>
        <w:spacing w:before="104"/>
        <w:ind w:left="3048"/>
        <w:rPr>
          <w:rFonts w:ascii="仿宋" w:hAnsi="仿宋" w:eastAsia="仿宋" w:cs="仿宋"/>
          <w:color w:val="auto"/>
          <w:highlight w:val="none"/>
          <w:lang w:val="en-US"/>
        </w:rPr>
      </w:pPr>
    </w:p>
    <w:p w14:paraId="4E57EAAD">
      <w:pPr>
        <w:rPr>
          <w:rFonts w:ascii="仿宋" w:hAnsi="仿宋" w:eastAsia="仿宋" w:cs="仿宋"/>
          <w:b/>
          <w:bCs/>
          <w:color w:val="auto"/>
          <w:kern w:val="0"/>
          <w:sz w:val="28"/>
          <w:szCs w:val="28"/>
          <w:highlight w:val="none"/>
        </w:rPr>
      </w:pPr>
      <w:r>
        <w:rPr>
          <w:rFonts w:hint="eastAsia" w:ascii="仿宋" w:hAnsi="仿宋" w:eastAsia="仿宋" w:cs="仿宋"/>
          <w:color w:val="auto"/>
          <w:highlight w:val="none"/>
        </w:rPr>
        <w:br w:type="page"/>
      </w:r>
    </w:p>
    <w:p w14:paraId="2071A705">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val="en-US"/>
        </w:rPr>
        <w:t>、其他相关证明材料</w:t>
      </w:r>
    </w:p>
    <w:p w14:paraId="55ABF614">
      <w:pPr>
        <w:pStyle w:val="8"/>
        <w:spacing w:before="160" w:line="362" w:lineRule="auto"/>
        <w:ind w:left="220" w:right="361" w:firstLine="1377" w:firstLineChars="626"/>
        <w:rPr>
          <w:rFonts w:ascii="仿宋" w:hAnsi="仿宋" w:eastAsia="仿宋" w:cs="仿宋"/>
          <w:color w:val="auto"/>
          <w:sz w:val="21"/>
          <w:szCs w:val="24"/>
          <w:highlight w:val="none"/>
        </w:rPr>
      </w:pPr>
      <w:r>
        <w:rPr>
          <w:rFonts w:hint="eastAsia" w:ascii="仿宋" w:hAnsi="仿宋" w:eastAsia="仿宋" w:cs="仿宋"/>
          <w:color w:val="auto"/>
          <w:highlight w:val="none"/>
        </w:rPr>
        <w:t>提供符合磋商公告、采购需求及评审方法和标准规定的相关证明文件。</w:t>
      </w:r>
    </w:p>
    <w:p w14:paraId="65FD7F31">
      <w:pPr>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br w:type="page"/>
      </w:r>
    </w:p>
    <w:p w14:paraId="001F2EF5">
      <w:pPr>
        <w:pStyle w:val="2"/>
        <w:jc w:val="center"/>
        <w:rPr>
          <w:rFonts w:hint="default" w:ascii="Arial Unicode MS" w:hAnsi="仿宋" w:eastAsia="Arial Unicode MS" w:cs="仿宋"/>
          <w:b w:val="0"/>
          <w:color w:val="auto"/>
          <w:sz w:val="44"/>
          <w:szCs w:val="44"/>
          <w:highlight w:val="none"/>
        </w:rPr>
      </w:pPr>
      <w:bookmarkStart w:id="1303" w:name="_Toc144969125"/>
      <w:bookmarkStart w:id="1304" w:name="_Toc14093"/>
      <w:bookmarkStart w:id="1305" w:name="_Toc27216"/>
      <w:bookmarkStart w:id="1306" w:name="_Toc3422"/>
      <w:bookmarkStart w:id="1307" w:name="_Toc9949"/>
      <w:r>
        <w:rPr>
          <w:rFonts w:ascii="Arial Unicode MS" w:hAnsi="仿宋" w:eastAsia="Arial Unicode MS" w:cs="仿宋"/>
          <w:b w:val="0"/>
          <w:color w:val="auto"/>
          <w:sz w:val="44"/>
          <w:szCs w:val="44"/>
          <w:highlight w:val="none"/>
        </w:rPr>
        <w:t>第八章</w:t>
      </w:r>
      <w:r>
        <w:rPr>
          <w:rFonts w:hint="eastAsia" w:ascii="Arial Unicode MS" w:hAnsi="仿宋" w:eastAsia="Arial Unicode MS" w:cs="仿宋"/>
          <w:b w:val="0"/>
          <w:color w:val="auto"/>
          <w:sz w:val="44"/>
          <w:szCs w:val="44"/>
          <w:highlight w:val="none"/>
          <w:lang w:val="en-US" w:eastAsia="zh-CN"/>
        </w:rPr>
        <w:t xml:space="preserve"> </w:t>
      </w:r>
      <w:r>
        <w:rPr>
          <w:rFonts w:ascii="Arial Unicode MS" w:hAnsi="仿宋" w:eastAsia="Arial Unicode MS" w:cs="仿宋"/>
          <w:b w:val="0"/>
          <w:color w:val="auto"/>
          <w:sz w:val="44"/>
          <w:szCs w:val="44"/>
          <w:highlight w:val="none"/>
        </w:rPr>
        <w:t>最终报价或第   次报价表</w:t>
      </w:r>
      <w:bookmarkEnd w:id="1303"/>
    </w:p>
    <w:p w14:paraId="229C7C1D">
      <w:pPr>
        <w:autoSpaceDE w:val="0"/>
        <w:autoSpaceDN w:val="0"/>
        <w:spacing w:before="54" w:line="360" w:lineRule="auto"/>
        <w:jc w:val="center"/>
        <w:outlineLvl w:val="0"/>
        <w:rPr>
          <w:rFonts w:ascii="仿宋" w:hAnsi="仿宋" w:eastAsia="仿宋" w:cs="仿宋"/>
          <w:b/>
          <w:bCs/>
          <w:color w:val="auto"/>
          <w:kern w:val="0"/>
          <w:sz w:val="32"/>
          <w:szCs w:val="32"/>
          <w:highlight w:val="none"/>
          <w:lang w:val="zh-CN" w:bidi="zh-CN"/>
        </w:rPr>
      </w:pPr>
      <w:r>
        <w:rPr>
          <w:rFonts w:hint="eastAsia" w:ascii="仿宋" w:hAnsi="仿宋" w:eastAsia="仿宋" w:cs="仿宋"/>
          <w:b/>
          <w:bCs/>
          <w:color w:val="auto"/>
          <w:kern w:val="0"/>
          <w:sz w:val="32"/>
          <w:szCs w:val="32"/>
          <w:highlight w:val="none"/>
          <w:lang w:val="zh-CN" w:bidi="zh-CN"/>
        </w:rPr>
        <w:t>最终报价或第次报价表</w:t>
      </w:r>
    </w:p>
    <w:p w14:paraId="78BAD39C">
      <w:pPr>
        <w:autoSpaceDE w:val="0"/>
        <w:autoSpaceDN w:val="0"/>
        <w:snapToGrid w:val="0"/>
        <w:spacing w:line="500" w:lineRule="exact"/>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项目名称：</w:t>
      </w:r>
    </w:p>
    <w:tbl>
      <w:tblPr>
        <w:tblStyle w:val="28"/>
        <w:tblW w:w="4998" w:type="pct"/>
        <w:tblInd w:w="0" w:type="dxa"/>
        <w:tblLayout w:type="autofit"/>
        <w:tblCellMar>
          <w:top w:w="0" w:type="dxa"/>
          <w:left w:w="10" w:type="dxa"/>
          <w:bottom w:w="0" w:type="dxa"/>
          <w:right w:w="10" w:type="dxa"/>
        </w:tblCellMar>
      </w:tblPr>
      <w:tblGrid>
        <w:gridCol w:w="2218"/>
        <w:gridCol w:w="7666"/>
      </w:tblGrid>
      <w:tr w14:paraId="10B87B38">
        <w:tblPrEx>
          <w:tblCellMar>
            <w:top w:w="0" w:type="dxa"/>
            <w:left w:w="10" w:type="dxa"/>
            <w:bottom w:w="0" w:type="dxa"/>
            <w:right w:w="10" w:type="dxa"/>
          </w:tblCellMar>
        </w:tblPrEx>
        <w:trPr>
          <w:trHeight w:val="692"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4F2AA6C1">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供应商名称</w:t>
            </w:r>
          </w:p>
        </w:tc>
        <w:tc>
          <w:tcPr>
            <w:tcW w:w="3877" w:type="pct"/>
            <w:tcBorders>
              <w:top w:val="single" w:color="auto" w:sz="6" w:space="0"/>
              <w:left w:val="single" w:color="auto" w:sz="6" w:space="0"/>
              <w:bottom w:val="single" w:color="auto" w:sz="6" w:space="0"/>
              <w:right w:val="single" w:color="auto" w:sz="6" w:space="0"/>
            </w:tcBorders>
            <w:noWrap w:val="0"/>
            <w:vAlign w:val="top"/>
          </w:tcPr>
          <w:p w14:paraId="54F3CD33">
            <w:pPr>
              <w:autoSpaceDE w:val="0"/>
              <w:autoSpaceDN w:val="0"/>
              <w:adjustRightInd w:val="0"/>
              <w:spacing w:line="360" w:lineRule="auto"/>
              <w:jc w:val="left"/>
              <w:rPr>
                <w:rFonts w:ascii="仿宋" w:hAnsi="仿宋" w:eastAsia="仿宋" w:cs="仿宋"/>
                <w:b/>
                <w:color w:val="auto"/>
                <w:kern w:val="0"/>
                <w:sz w:val="24"/>
                <w:highlight w:val="none"/>
                <w:lang w:val="zh-CN" w:bidi="zh-CN"/>
              </w:rPr>
            </w:pPr>
          </w:p>
        </w:tc>
      </w:tr>
      <w:tr w14:paraId="4E59F6D7">
        <w:tblPrEx>
          <w:tblCellMar>
            <w:top w:w="0" w:type="dxa"/>
            <w:left w:w="10" w:type="dxa"/>
            <w:bottom w:w="0" w:type="dxa"/>
            <w:right w:w="10" w:type="dxa"/>
          </w:tblCellMar>
        </w:tblPrEx>
        <w:trPr>
          <w:trHeight w:val="13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0EE5F915">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最终投标总价</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55B071EC">
            <w:pPr>
              <w:autoSpaceDE w:val="0"/>
              <w:autoSpaceDN w:val="0"/>
              <w:adjustRightInd w:val="0"/>
              <w:spacing w:line="360" w:lineRule="auto"/>
              <w:ind w:firstLine="240" w:firstLineChars="100"/>
              <w:jc w:val="left"/>
              <w:rPr>
                <w:rFonts w:ascii="仿宋" w:hAnsi="仿宋" w:eastAsia="仿宋" w:cs="仿宋"/>
                <w:bCs/>
                <w:color w:val="auto"/>
                <w:kern w:val="0"/>
                <w:sz w:val="24"/>
                <w:highlight w:val="none"/>
                <w:lang w:val="zh-CN" w:bidi="zh-CN"/>
              </w:rPr>
            </w:pPr>
            <w:r>
              <w:rPr>
                <w:rFonts w:hint="eastAsia" w:ascii="仿宋" w:hAnsi="仿宋" w:eastAsia="仿宋" w:cs="仿宋"/>
                <w:bCs/>
                <w:color w:val="auto"/>
                <w:kern w:val="0"/>
                <w:sz w:val="24"/>
                <w:highlight w:val="none"/>
                <w:lang w:val="zh-CN" w:bidi="zh-CN"/>
              </w:rPr>
              <w:t>人民币（小写）：</w:t>
            </w:r>
            <w:r>
              <w:rPr>
                <w:rFonts w:hint="eastAsia" w:ascii="仿宋" w:hAnsi="仿宋" w:eastAsia="仿宋" w:cs="仿宋"/>
                <w:bCs/>
                <w:color w:val="auto"/>
                <w:kern w:val="0"/>
                <w:sz w:val="24"/>
                <w:highlight w:val="none"/>
                <w:lang w:val="en-US" w:bidi="zh-CN"/>
              </w:rPr>
              <w:t xml:space="preserve">     </w:t>
            </w:r>
            <w:r>
              <w:rPr>
                <w:rFonts w:hint="eastAsia" w:ascii="仿宋" w:hAnsi="仿宋" w:eastAsia="仿宋" w:cs="仿宋"/>
                <w:bCs/>
                <w:color w:val="auto"/>
                <w:kern w:val="0"/>
                <w:sz w:val="24"/>
                <w:highlight w:val="none"/>
                <w:lang w:val="zh-CN" w:bidi="zh-CN"/>
              </w:rPr>
              <w:t>元</w:t>
            </w:r>
          </w:p>
          <w:p w14:paraId="6200D623">
            <w:pPr>
              <w:autoSpaceDE w:val="0"/>
              <w:autoSpaceDN w:val="0"/>
              <w:adjustRightInd w:val="0"/>
              <w:spacing w:line="360" w:lineRule="auto"/>
              <w:ind w:firstLine="240" w:firstLineChars="100"/>
              <w:jc w:val="left"/>
              <w:rPr>
                <w:rFonts w:ascii="仿宋" w:hAnsi="仿宋" w:eastAsia="仿宋" w:cs="仿宋"/>
                <w:b/>
                <w:color w:val="auto"/>
                <w:kern w:val="0"/>
                <w:sz w:val="24"/>
                <w:highlight w:val="none"/>
                <w:lang w:val="zh-CN" w:bidi="zh-CN"/>
              </w:rPr>
            </w:pPr>
            <w:r>
              <w:rPr>
                <w:rFonts w:hint="eastAsia" w:ascii="仿宋" w:hAnsi="仿宋" w:eastAsia="仿宋" w:cs="仿宋"/>
                <w:bCs/>
                <w:color w:val="auto"/>
                <w:kern w:val="0"/>
                <w:sz w:val="24"/>
                <w:highlight w:val="none"/>
                <w:lang w:val="zh-CN" w:bidi="zh-CN"/>
              </w:rPr>
              <w:t>人民币（大写）：</w:t>
            </w:r>
            <w:r>
              <w:rPr>
                <w:rFonts w:hint="eastAsia" w:ascii="仿宋" w:hAnsi="仿宋" w:eastAsia="仿宋" w:cs="仿宋"/>
                <w:bCs/>
                <w:color w:val="auto"/>
                <w:kern w:val="0"/>
                <w:sz w:val="24"/>
                <w:highlight w:val="none"/>
                <w:lang w:val="en-US" w:bidi="zh-CN"/>
              </w:rPr>
              <w:t xml:space="preserve">     </w:t>
            </w:r>
            <w:r>
              <w:rPr>
                <w:rFonts w:hint="eastAsia" w:ascii="仿宋" w:hAnsi="仿宋" w:eastAsia="仿宋" w:cs="仿宋"/>
                <w:bCs/>
                <w:color w:val="auto"/>
                <w:kern w:val="0"/>
                <w:sz w:val="24"/>
                <w:highlight w:val="none"/>
                <w:lang w:val="zh-CN" w:bidi="zh-CN"/>
              </w:rPr>
              <w:t>元</w:t>
            </w:r>
          </w:p>
        </w:tc>
      </w:tr>
      <w:tr w14:paraId="7E8BE47B">
        <w:tblPrEx>
          <w:tblCellMar>
            <w:top w:w="0" w:type="dxa"/>
            <w:left w:w="10" w:type="dxa"/>
            <w:bottom w:w="0" w:type="dxa"/>
            <w:right w:w="10" w:type="dxa"/>
          </w:tblCellMar>
        </w:tblPrEx>
        <w:trPr>
          <w:trHeight w:val="1408"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26B950BC">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是否响应</w:t>
            </w:r>
          </w:p>
          <w:p w14:paraId="306CCE79">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付款方式</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3C16BAC6">
            <w:pPr>
              <w:autoSpaceDE w:val="0"/>
              <w:autoSpaceDN w:val="0"/>
              <w:adjustRightInd w:val="0"/>
              <w:spacing w:line="360" w:lineRule="auto"/>
              <w:ind w:firstLine="240" w:firstLineChars="1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是□    否□   （划√）</w:t>
            </w:r>
          </w:p>
        </w:tc>
      </w:tr>
      <w:tr w14:paraId="16E11C44">
        <w:tblPrEx>
          <w:tblCellMar>
            <w:top w:w="0" w:type="dxa"/>
            <w:left w:w="10" w:type="dxa"/>
            <w:bottom w:w="0" w:type="dxa"/>
            <w:right w:w="10" w:type="dxa"/>
          </w:tblCellMar>
        </w:tblPrEx>
        <w:trPr>
          <w:trHeight w:val="8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22B51454">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工期</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683C61F2">
            <w:pPr>
              <w:autoSpaceDE w:val="0"/>
              <w:autoSpaceDN w:val="0"/>
              <w:adjustRightInd w:val="0"/>
              <w:spacing w:line="360" w:lineRule="auto"/>
              <w:ind w:firstLine="720" w:firstLineChars="300"/>
              <w:jc w:val="left"/>
              <w:rPr>
                <w:rFonts w:ascii="仿宋" w:hAnsi="仿宋" w:eastAsia="仿宋" w:cs="仿宋"/>
                <w:b/>
                <w:color w:val="auto"/>
                <w:kern w:val="0"/>
                <w:sz w:val="24"/>
                <w:highlight w:val="none"/>
                <w:lang w:val="zh-CN" w:bidi="zh-CN"/>
              </w:rPr>
            </w:pPr>
            <w:r>
              <w:rPr>
                <w:rFonts w:hint="eastAsia" w:ascii="仿宋" w:hAnsi="仿宋" w:eastAsia="仿宋" w:cs="仿宋"/>
                <w:color w:val="auto"/>
                <w:kern w:val="0"/>
                <w:sz w:val="24"/>
                <w:highlight w:val="none"/>
                <w:lang w:val="zh-CN" w:bidi="zh-CN"/>
              </w:rPr>
              <w:t>日</w:t>
            </w:r>
          </w:p>
        </w:tc>
      </w:tr>
      <w:tr w14:paraId="2A9DF61C">
        <w:tblPrEx>
          <w:tblCellMar>
            <w:top w:w="0" w:type="dxa"/>
            <w:left w:w="10" w:type="dxa"/>
            <w:bottom w:w="0" w:type="dxa"/>
            <w:right w:w="10" w:type="dxa"/>
          </w:tblCellMar>
        </w:tblPrEx>
        <w:trPr>
          <w:trHeight w:val="2077" w:hRule="atLeast"/>
        </w:trPr>
        <w:tc>
          <w:tcPr>
            <w:tcW w:w="1122" w:type="pct"/>
            <w:tcBorders>
              <w:top w:val="single" w:color="auto" w:sz="4" w:space="0"/>
              <w:left w:val="single" w:color="auto" w:sz="6" w:space="0"/>
              <w:bottom w:val="single" w:color="auto" w:sz="6" w:space="0"/>
              <w:right w:val="single" w:color="auto" w:sz="6" w:space="0"/>
            </w:tcBorders>
            <w:noWrap w:val="0"/>
            <w:vAlign w:val="center"/>
          </w:tcPr>
          <w:p w14:paraId="268F1EF9">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其他说明</w:t>
            </w:r>
          </w:p>
        </w:tc>
        <w:tc>
          <w:tcPr>
            <w:tcW w:w="3877" w:type="pct"/>
            <w:tcBorders>
              <w:top w:val="single" w:color="auto" w:sz="4" w:space="0"/>
              <w:left w:val="single" w:color="auto" w:sz="6" w:space="0"/>
              <w:bottom w:val="single" w:color="auto" w:sz="6" w:space="0"/>
              <w:right w:val="single" w:color="auto" w:sz="6" w:space="0"/>
            </w:tcBorders>
            <w:noWrap w:val="0"/>
            <w:vAlign w:val="top"/>
          </w:tcPr>
          <w:p w14:paraId="224A686C">
            <w:pPr>
              <w:autoSpaceDE w:val="0"/>
              <w:autoSpaceDN w:val="0"/>
              <w:adjustRightInd w:val="0"/>
              <w:spacing w:line="360" w:lineRule="auto"/>
              <w:jc w:val="left"/>
              <w:rPr>
                <w:rFonts w:ascii="仿宋" w:hAnsi="仿宋" w:eastAsia="仿宋" w:cs="仿宋"/>
                <w:b/>
                <w:color w:val="auto"/>
                <w:kern w:val="0"/>
                <w:sz w:val="24"/>
                <w:highlight w:val="none"/>
                <w:lang w:val="zh-CN" w:bidi="zh-CN"/>
              </w:rPr>
            </w:pPr>
          </w:p>
        </w:tc>
      </w:tr>
    </w:tbl>
    <w:p w14:paraId="666ADA53">
      <w:pPr>
        <w:autoSpaceDE w:val="0"/>
        <w:autoSpaceDN w:val="0"/>
        <w:adjustRightInd w:val="0"/>
        <w:spacing w:line="360" w:lineRule="auto"/>
        <w:jc w:val="left"/>
        <w:rPr>
          <w:rFonts w:ascii="仿宋" w:hAnsi="仿宋" w:eastAsia="仿宋" w:cs="仿宋"/>
          <w:color w:val="auto"/>
          <w:kern w:val="0"/>
          <w:sz w:val="24"/>
          <w:highlight w:val="none"/>
          <w:lang w:val="zh-CN" w:bidi="zh-CN"/>
        </w:rPr>
      </w:pPr>
    </w:p>
    <w:p w14:paraId="2B82FE85">
      <w:pPr>
        <w:autoSpaceDE w:val="0"/>
        <w:autoSpaceDN w:val="0"/>
        <w:adjustRightInd w:val="0"/>
        <w:spacing w:line="360" w:lineRule="auto"/>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投标人公章：</w:t>
      </w:r>
    </w:p>
    <w:p w14:paraId="561EE9F0">
      <w:pPr>
        <w:autoSpaceDE w:val="0"/>
        <w:autoSpaceDN w:val="0"/>
        <w:adjustRightInd w:val="0"/>
        <w:spacing w:line="360" w:lineRule="auto"/>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法定代表人或授权委托代理人（签字或盖章）：</w:t>
      </w:r>
    </w:p>
    <w:p w14:paraId="1CDC4736">
      <w:pPr>
        <w:autoSpaceDE w:val="0"/>
        <w:autoSpaceDN w:val="0"/>
        <w:adjustRightInd w:val="0"/>
        <w:spacing w:line="360" w:lineRule="auto"/>
        <w:jc w:val="righ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年  月  日</w:t>
      </w:r>
    </w:p>
    <w:p w14:paraId="3BD6637C">
      <w:pPr>
        <w:autoSpaceDE w:val="0"/>
        <w:autoSpaceDN w:val="0"/>
        <w:spacing w:line="360" w:lineRule="auto"/>
        <w:ind w:firstLine="472" w:firstLineChars="196"/>
        <w:jc w:val="left"/>
        <w:rPr>
          <w:rFonts w:ascii="仿宋" w:hAnsi="仿宋" w:eastAsia="仿宋" w:cs="仿宋"/>
          <w:color w:val="auto"/>
          <w:kern w:val="0"/>
          <w:sz w:val="24"/>
          <w:highlight w:val="none"/>
          <w:lang w:val="zh-CN" w:bidi="zh-CN"/>
        </w:rPr>
      </w:pPr>
      <w:r>
        <w:rPr>
          <w:rFonts w:hint="eastAsia" w:ascii="仿宋" w:hAnsi="仿宋" w:eastAsia="仿宋" w:cs="仿宋"/>
          <w:b/>
          <w:color w:val="auto"/>
          <w:kern w:val="0"/>
          <w:sz w:val="24"/>
          <w:highlight w:val="none"/>
          <w:lang w:val="zh-CN" w:bidi="zh-CN"/>
        </w:rPr>
        <w:t>注：本页&lt;最终报价书&gt;由投标供应商在</w:t>
      </w:r>
      <w:r>
        <w:rPr>
          <w:rFonts w:hint="eastAsia" w:ascii="仿宋" w:hAnsi="仿宋" w:eastAsia="仿宋" w:cs="仿宋"/>
          <w:b/>
          <w:color w:val="auto"/>
          <w:kern w:val="0"/>
          <w:sz w:val="24"/>
          <w:highlight w:val="none"/>
          <w:lang w:val="en-US" w:bidi="zh-CN"/>
        </w:rPr>
        <w:t>开标</w:t>
      </w:r>
      <w:r>
        <w:rPr>
          <w:rFonts w:hint="eastAsia" w:ascii="仿宋" w:hAnsi="仿宋" w:eastAsia="仿宋" w:cs="仿宋"/>
          <w:b/>
          <w:color w:val="auto"/>
          <w:kern w:val="0"/>
          <w:sz w:val="24"/>
          <w:highlight w:val="none"/>
          <w:lang w:val="zh-CN" w:bidi="zh-CN"/>
        </w:rPr>
        <w:t>现场依投标情况填写，请加盖公章后带至</w:t>
      </w:r>
      <w:r>
        <w:rPr>
          <w:rFonts w:hint="eastAsia" w:ascii="仿宋" w:hAnsi="仿宋" w:eastAsia="仿宋" w:cs="仿宋"/>
          <w:b/>
          <w:color w:val="auto"/>
          <w:kern w:val="0"/>
          <w:sz w:val="24"/>
          <w:highlight w:val="none"/>
          <w:lang w:val="en-US" w:bidi="zh-CN"/>
        </w:rPr>
        <w:t>开标</w:t>
      </w:r>
      <w:r>
        <w:rPr>
          <w:rFonts w:hint="eastAsia" w:ascii="仿宋" w:hAnsi="仿宋" w:eastAsia="仿宋" w:cs="仿宋"/>
          <w:b/>
          <w:color w:val="auto"/>
          <w:kern w:val="0"/>
          <w:sz w:val="24"/>
          <w:highlight w:val="none"/>
          <w:lang w:val="zh-CN" w:bidi="zh-CN"/>
        </w:rPr>
        <w:t>现场备填（不需装订在响应文件内，</w:t>
      </w:r>
      <w:r>
        <w:rPr>
          <w:rFonts w:hint="eastAsia" w:ascii="仿宋" w:hAnsi="仿宋" w:eastAsia="仿宋" w:cs="仿宋"/>
          <w:b/>
          <w:color w:val="auto"/>
          <w:kern w:val="0"/>
          <w:sz w:val="24"/>
          <w:highlight w:val="none"/>
          <w:lang w:bidi="zh-CN"/>
        </w:rPr>
        <w:t>请准备不少于两张</w:t>
      </w:r>
      <w:r>
        <w:rPr>
          <w:rFonts w:hint="eastAsia" w:ascii="仿宋" w:hAnsi="仿宋" w:eastAsia="仿宋" w:cs="仿宋"/>
          <w:b/>
          <w:color w:val="auto"/>
          <w:kern w:val="0"/>
          <w:sz w:val="24"/>
          <w:highlight w:val="none"/>
          <w:lang w:val="zh-CN" w:bidi="zh-CN"/>
        </w:rPr>
        <w:t>），</w:t>
      </w:r>
      <w:r>
        <w:rPr>
          <w:rFonts w:hint="eastAsia" w:ascii="仿宋" w:hAnsi="仿宋" w:eastAsia="仿宋" w:cs="仿宋"/>
          <w:b/>
          <w:color w:val="auto"/>
          <w:kern w:val="0"/>
          <w:sz w:val="24"/>
          <w:highlight w:val="none"/>
          <w:u w:val="single"/>
          <w:lang w:val="zh-CN" w:bidi="zh-CN"/>
        </w:rPr>
        <w:t>该表供</w:t>
      </w:r>
      <w:r>
        <w:rPr>
          <w:rFonts w:hint="eastAsia" w:ascii="仿宋" w:hAnsi="仿宋" w:eastAsia="仿宋" w:cs="仿宋"/>
          <w:b/>
          <w:color w:val="auto"/>
          <w:kern w:val="0"/>
          <w:sz w:val="24"/>
          <w:highlight w:val="none"/>
          <w:u w:val="single"/>
          <w:lang w:val="en-US" w:bidi="zh-CN"/>
        </w:rPr>
        <w:t>开标</w:t>
      </w:r>
      <w:r>
        <w:rPr>
          <w:rFonts w:hint="eastAsia" w:ascii="仿宋" w:hAnsi="仿宋" w:eastAsia="仿宋" w:cs="仿宋"/>
          <w:b/>
          <w:color w:val="auto"/>
          <w:kern w:val="0"/>
          <w:sz w:val="24"/>
          <w:highlight w:val="none"/>
          <w:u w:val="single"/>
          <w:lang w:val="zh-CN" w:bidi="zh-CN"/>
        </w:rPr>
        <w:t>现场报价使用，打印该空表用于现场最终报价</w:t>
      </w:r>
      <w:r>
        <w:rPr>
          <w:rFonts w:hint="eastAsia" w:ascii="仿宋" w:hAnsi="仿宋" w:eastAsia="仿宋" w:cs="仿宋"/>
          <w:b/>
          <w:color w:val="auto"/>
          <w:kern w:val="0"/>
          <w:sz w:val="24"/>
          <w:highlight w:val="none"/>
          <w:lang w:val="zh-CN" w:bidi="zh-CN"/>
        </w:rPr>
        <w:t>。</w:t>
      </w:r>
      <w:r>
        <w:rPr>
          <w:rFonts w:hint="eastAsia" w:ascii="仿宋" w:hAnsi="仿宋" w:eastAsia="仿宋" w:cs="仿宋"/>
          <w:color w:val="auto"/>
          <w:kern w:val="0"/>
          <w:sz w:val="24"/>
          <w:highlight w:val="none"/>
          <w:lang w:val="zh-CN" w:bidi="zh-CN"/>
        </w:rPr>
        <w:t>考虑投标报价的方便，</w:t>
      </w:r>
      <w:r>
        <w:rPr>
          <w:rFonts w:hint="eastAsia" w:ascii="仿宋" w:hAnsi="仿宋" w:eastAsia="仿宋" w:cs="仿宋"/>
          <w:color w:val="auto"/>
          <w:kern w:val="0"/>
          <w:sz w:val="24"/>
          <w:highlight w:val="none"/>
          <w:lang w:val="en-US" w:bidi="zh-CN"/>
        </w:rPr>
        <w:t>投标</w:t>
      </w:r>
      <w:r>
        <w:rPr>
          <w:rFonts w:hint="eastAsia" w:ascii="仿宋" w:hAnsi="仿宋" w:eastAsia="仿宋" w:cs="仿宋"/>
          <w:color w:val="auto"/>
          <w:kern w:val="0"/>
          <w:sz w:val="24"/>
          <w:highlight w:val="none"/>
          <w:lang w:val="zh-CN" w:bidi="zh-CN"/>
        </w:rPr>
        <w:t>供应商在填写的最终承诺报价为合同总价，施工所需费用均包含在合同总价内。</w:t>
      </w:r>
      <w:r>
        <w:rPr>
          <w:rFonts w:hint="eastAsia" w:ascii="仿宋" w:hAnsi="仿宋" w:eastAsia="仿宋" w:cs="仿宋"/>
          <w:color w:val="auto"/>
          <w:kern w:val="0"/>
          <w:sz w:val="24"/>
          <w:highlight w:val="none"/>
          <w:lang w:bidi="zh-CN"/>
        </w:rPr>
        <w:t>项目清单的价格按下浮值占投标报价百分比同比例下浮。</w:t>
      </w:r>
    </w:p>
    <w:p w14:paraId="3E6CCB0B">
      <w:pPr>
        <w:pStyle w:val="25"/>
        <w:spacing w:beforeAutospacing="0" w:afterAutospacing="0" w:line="360" w:lineRule="exact"/>
        <w:jc w:val="center"/>
        <w:rPr>
          <w:rFonts w:ascii="仿宋" w:hAnsi="仿宋" w:eastAsia="仿宋" w:cs="仿宋"/>
          <w:b/>
          <w:bCs/>
          <w:color w:val="auto"/>
          <w:sz w:val="32"/>
          <w:szCs w:val="32"/>
          <w:highlight w:val="none"/>
        </w:rPr>
      </w:pPr>
    </w:p>
    <w:p w14:paraId="608C41B8">
      <w:pPr>
        <w:pStyle w:val="25"/>
        <w:spacing w:beforeAutospacing="0" w:afterAutospacing="0" w:line="360" w:lineRule="exact"/>
        <w:jc w:val="both"/>
        <w:rPr>
          <w:rFonts w:ascii="仿宋" w:hAnsi="仿宋" w:eastAsia="仿宋" w:cs="仿宋"/>
          <w:b/>
          <w:bCs/>
          <w:color w:val="auto"/>
          <w:sz w:val="32"/>
          <w:szCs w:val="32"/>
          <w:highlight w:val="none"/>
        </w:rPr>
      </w:pPr>
    </w:p>
    <w:bookmarkEnd w:id="1304"/>
    <w:bookmarkEnd w:id="1305"/>
    <w:bookmarkEnd w:id="1306"/>
    <w:bookmarkEnd w:id="1307"/>
    <w:p w14:paraId="572C1FAB">
      <w:pPr>
        <w:pStyle w:val="4"/>
        <w:widowControl/>
        <w:shd w:val="clear" w:color="auto" w:fill="FFFFFF"/>
        <w:spacing w:before="240" w:after="120" w:line="432" w:lineRule="atLeast"/>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shd w:val="clear" w:color="auto" w:fill="FFFFFF"/>
        </w:rPr>
        <w:t>工业和信息化部 国家统计局 国家发展和改革委员会财政部关于印发中小企业划型标准规定的通知</w:t>
      </w:r>
    </w:p>
    <w:p w14:paraId="7D48AEC8">
      <w:pPr>
        <w:pStyle w:val="25"/>
        <w:widowControl/>
        <w:shd w:val="clear" w:color="auto" w:fill="FFFFFF"/>
        <w:spacing w:before="120" w:beforeAutospacing="0" w:after="120" w:afterAutospacing="0" w:line="440" w:lineRule="exact"/>
        <w:jc w:val="center"/>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工信部联企业〔2011〕300号</w:t>
      </w:r>
    </w:p>
    <w:p w14:paraId="58E82059">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各省、自治区、直辖市人民政府，国务院各部委、各直属机构及有关单位：</w:t>
      </w:r>
    </w:p>
    <w:p w14:paraId="2DBCB5B4">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w:t>
      </w:r>
    </w:p>
    <w:p w14:paraId="7B1AD03A">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经国务院同意，现印发给你们，请遵照执行。</w:t>
      </w:r>
    </w:p>
    <w:p w14:paraId="5835438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附件：</w:t>
      </w:r>
    </w:p>
    <w:p w14:paraId="7443493B">
      <w:pPr>
        <w:pStyle w:val="25"/>
        <w:widowControl/>
        <w:shd w:val="clear" w:color="auto" w:fill="FFFFFF"/>
        <w:spacing w:beforeAutospacing="0" w:afterAutospacing="0" w:line="440" w:lineRule="exact"/>
        <w:jc w:val="center"/>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中小企业划型标准规定</w:t>
      </w:r>
    </w:p>
    <w:p w14:paraId="306C519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一、根据《中华人民共和国中小企业促进法》和《国务院关于进一步促进中小企业发展的若干意见》（国发〔2009〕36号），制定本规定。</w:t>
      </w:r>
    </w:p>
    <w:p w14:paraId="273056A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二、中小企业划分为中型、小型、微型三种类型，具体标准根据企业从业人员、营业收入、资产总额等指标，结合行业特点制定。</w:t>
      </w:r>
    </w:p>
    <w:p w14:paraId="4280427D">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860657">
      <w:pPr>
        <w:pStyle w:val="25"/>
        <w:widowControl/>
        <w:shd w:val="clear" w:color="auto" w:fill="FFFFFF"/>
        <w:spacing w:beforeAutospacing="0" w:afterAutospacing="0" w:line="440" w:lineRule="exact"/>
        <w:rPr>
          <w:rFonts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　　四、各行业划型标准为：</w:t>
      </w:r>
    </w:p>
    <w:p w14:paraId="01FBB35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2AE16108">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D0AD9E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95FFA52">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D0BDA3">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05495B">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773D88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5B59B2E">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9D82B5">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4CA54D">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A14C32">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D5A474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FFDE3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B5DFC3">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CC7649">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6BF301E">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2F57F799">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五、企业类型的划分以统计部门的统计数据为依据。</w:t>
      </w:r>
    </w:p>
    <w:p w14:paraId="3ED37A7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六、本规定适用于在中华人民共和国境内依法设立的各类所有制和各种组织形式的企业。个体工商户和本规定以外的行业，参照本规定进行划型。</w:t>
      </w:r>
    </w:p>
    <w:p w14:paraId="2BF6F74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79D3123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八、本规定由工业和信息化部、国家统计局会同有关部门根据《国民经济行业分类》修订情况和企业发展变化情况适时修订。</w:t>
      </w:r>
    </w:p>
    <w:p w14:paraId="7CEF435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九、本规定由工业和信息化部、国家统计局会同有关部门负责解释。</w:t>
      </w:r>
    </w:p>
    <w:p w14:paraId="2567876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十、本规定自发布之日起执行，原国家经贸委、原国家计委、财政部和国家统计局2003年颁布的《中小企业标准暂行规定》国经贸中小企[2003]143号同时废止。</w:t>
      </w:r>
    </w:p>
    <w:bookmarkEnd w:id="1308"/>
    <w:sectPr>
      <w:headerReference r:id="rId6" w:type="default"/>
      <w:footerReference r:id="rId7" w:type="default"/>
      <w:pgSz w:w="11910" w:h="16850"/>
      <w:pgMar w:top="1247" w:right="1021" w:bottom="1247" w:left="1021"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97995C-67E9-47A5-A9F1-1D97A67B65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67ED00-C222-4DBC-929C-CFCC3038C73B}"/>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3" w:fontKey="{37A4BEFE-89C7-4DA1-A4D1-CE11FD28C8A5}"/>
  </w:font>
  <w:font w:name="仿宋_GB2312">
    <w:panose1 w:val="02010609030101010101"/>
    <w:charset w:val="86"/>
    <w:family w:val="modern"/>
    <w:pitch w:val="default"/>
    <w:sig w:usb0="00000001" w:usb1="080E0000" w:usb2="00000000" w:usb3="00000000" w:csb0="00040000" w:csb1="00000000"/>
    <w:embedRegular r:id="rId4" w:fontKey="{57258CD7-FEA3-418B-B1FF-A17F54A057F1}"/>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5" w:fontKey="{3D28CE46-AE12-4D7A-93B9-C5269C6478B7}"/>
  </w:font>
  <w:font w:name="仿宋">
    <w:panose1 w:val="02010609060101010101"/>
    <w:charset w:val="86"/>
    <w:family w:val="modern"/>
    <w:pitch w:val="default"/>
    <w:sig w:usb0="800002BF" w:usb1="38CF7CFA" w:usb2="00000016" w:usb3="00000000" w:csb0="00040001" w:csb1="00000000"/>
    <w:embedRegular r:id="rId6" w:fontKey="{36D0F64F-D851-49F6-A47C-EFF1AE0577EC}"/>
  </w:font>
  <w:font w:name="华文中宋">
    <w:panose1 w:val="02010600040101010101"/>
    <w:charset w:val="86"/>
    <w:family w:val="auto"/>
    <w:pitch w:val="default"/>
    <w:sig w:usb0="00000287" w:usb1="080F0000" w:usb2="00000000" w:usb3="00000000" w:csb0="0004009F" w:csb1="DFD70000"/>
    <w:embedRegular r:id="rId7" w:fontKey="{268D04CD-3FA4-4B29-91C0-4E87FD566507}"/>
  </w:font>
  <w:font w:name="方正仿宋_GB2312">
    <w:panose1 w:val="02000000000000000000"/>
    <w:charset w:val="86"/>
    <w:family w:val="auto"/>
    <w:pitch w:val="default"/>
    <w:sig w:usb0="A00002BF" w:usb1="184F6CFA" w:usb2="00000012" w:usb3="00000000" w:csb0="00040001" w:csb1="00000000"/>
    <w:embedRegular r:id="rId8" w:fontKey="{1FB83184-ABEA-48AF-966E-661B80F7E792}"/>
  </w:font>
  <w:font w:name="楷体_GB2312">
    <w:panose1 w:val="02010609030101010101"/>
    <w:charset w:val="86"/>
    <w:family w:val="modern"/>
    <w:pitch w:val="default"/>
    <w:sig w:usb0="00000001" w:usb1="080E0000" w:usb2="00000000" w:usb3="00000000" w:csb0="00040000" w:csb1="00000000"/>
    <w:embedRegular r:id="rId9" w:fontKey="{BFBF38E3-D4C0-46E8-8A6D-03068FD60E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11C8">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C4A5">
    <w:pPr>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8CB1B">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88CB1B">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0DE03">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1A33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881A33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FF67">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3EF05">
                          <w:pPr>
                            <w:pStyle w:val="1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83EF05">
                    <w:pPr>
                      <w:pStyle w:val="1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11B8">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461"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2" w:hanging="241"/>
      </w:pPr>
      <w:rPr>
        <w:rFonts w:hint="default"/>
        <w:lang w:val="zh-CN" w:eastAsia="zh-CN" w:bidi="zh-CN"/>
      </w:rPr>
    </w:lvl>
    <w:lvl w:ilvl="2" w:tentative="0">
      <w:start w:val="0"/>
      <w:numFmt w:val="bullet"/>
      <w:lvlText w:val="•"/>
      <w:lvlJc w:val="left"/>
      <w:pPr>
        <w:ind w:left="2145" w:hanging="241"/>
      </w:pPr>
      <w:rPr>
        <w:rFonts w:hint="default"/>
        <w:lang w:val="zh-CN" w:eastAsia="zh-CN" w:bidi="zh-CN"/>
      </w:rPr>
    </w:lvl>
    <w:lvl w:ilvl="3" w:tentative="0">
      <w:start w:val="0"/>
      <w:numFmt w:val="bullet"/>
      <w:lvlText w:val="•"/>
      <w:lvlJc w:val="left"/>
      <w:pPr>
        <w:ind w:left="2987" w:hanging="241"/>
      </w:pPr>
      <w:rPr>
        <w:rFonts w:hint="default"/>
        <w:lang w:val="zh-CN" w:eastAsia="zh-CN" w:bidi="zh-CN"/>
      </w:rPr>
    </w:lvl>
    <w:lvl w:ilvl="4" w:tentative="0">
      <w:start w:val="0"/>
      <w:numFmt w:val="bullet"/>
      <w:lvlText w:val="•"/>
      <w:lvlJc w:val="left"/>
      <w:pPr>
        <w:ind w:left="3830" w:hanging="241"/>
      </w:pPr>
      <w:rPr>
        <w:rFonts w:hint="default"/>
        <w:lang w:val="zh-CN" w:eastAsia="zh-CN" w:bidi="zh-CN"/>
      </w:rPr>
    </w:lvl>
    <w:lvl w:ilvl="5" w:tentative="0">
      <w:start w:val="0"/>
      <w:numFmt w:val="bullet"/>
      <w:lvlText w:val="•"/>
      <w:lvlJc w:val="left"/>
      <w:pPr>
        <w:ind w:left="4673" w:hanging="241"/>
      </w:pPr>
      <w:rPr>
        <w:rFonts w:hint="default"/>
        <w:lang w:val="zh-CN" w:eastAsia="zh-CN" w:bidi="zh-CN"/>
      </w:rPr>
    </w:lvl>
    <w:lvl w:ilvl="6" w:tentative="0">
      <w:start w:val="0"/>
      <w:numFmt w:val="bullet"/>
      <w:lvlText w:val="•"/>
      <w:lvlJc w:val="left"/>
      <w:pPr>
        <w:ind w:left="5515" w:hanging="241"/>
      </w:pPr>
      <w:rPr>
        <w:rFonts w:hint="default"/>
        <w:lang w:val="zh-CN" w:eastAsia="zh-CN" w:bidi="zh-CN"/>
      </w:rPr>
    </w:lvl>
    <w:lvl w:ilvl="7" w:tentative="0">
      <w:start w:val="0"/>
      <w:numFmt w:val="bullet"/>
      <w:lvlText w:val="•"/>
      <w:lvlJc w:val="left"/>
      <w:pPr>
        <w:ind w:left="6358" w:hanging="241"/>
      </w:pPr>
      <w:rPr>
        <w:rFonts w:hint="default"/>
        <w:lang w:val="zh-CN" w:eastAsia="zh-CN" w:bidi="zh-CN"/>
      </w:rPr>
    </w:lvl>
    <w:lvl w:ilvl="8" w:tentative="0">
      <w:start w:val="0"/>
      <w:numFmt w:val="bullet"/>
      <w:lvlText w:val="•"/>
      <w:lvlJc w:val="left"/>
      <w:pPr>
        <w:ind w:left="7201" w:hanging="241"/>
      </w:pPr>
      <w:rPr>
        <w:rFonts w:hint="default"/>
        <w:lang w:val="zh-CN" w:eastAsia="zh-CN" w:bidi="zh-CN"/>
      </w:rPr>
    </w:lvl>
  </w:abstractNum>
  <w:abstractNum w:abstractNumId="1">
    <w:nsid w:val="C188E097"/>
    <w:multiLevelType w:val="singleLevel"/>
    <w:tmpl w:val="C188E097"/>
    <w:lvl w:ilvl="0" w:tentative="0">
      <w:start w:val="1"/>
      <w:numFmt w:val="decimal"/>
      <w:lvlText w:val="%1."/>
      <w:lvlJc w:val="left"/>
      <w:pPr>
        <w:tabs>
          <w:tab w:val="left" w:pos="312"/>
        </w:tabs>
      </w:pPr>
    </w:lvl>
  </w:abstractNum>
  <w:abstractNum w:abstractNumId="2">
    <w:nsid w:val="CB24BCF9"/>
    <w:multiLevelType w:val="singleLevel"/>
    <w:tmpl w:val="CB24BCF9"/>
    <w:lvl w:ilvl="0" w:tentative="0">
      <w:start w:val="3"/>
      <w:numFmt w:val="decimal"/>
      <w:suff w:val="nothing"/>
      <w:lvlText w:val="%1、"/>
      <w:lvlJc w:val="left"/>
    </w:lvl>
  </w:abstractNum>
  <w:abstractNum w:abstractNumId="3">
    <w:nsid w:val="CB4A1F80"/>
    <w:multiLevelType w:val="singleLevel"/>
    <w:tmpl w:val="CB4A1F80"/>
    <w:lvl w:ilvl="0" w:tentative="0">
      <w:start w:val="2"/>
      <w:numFmt w:val="decimal"/>
      <w:suff w:val="nothing"/>
      <w:lvlText w:val="（%1）"/>
      <w:lvlJc w:val="left"/>
    </w:lvl>
  </w:abstractNum>
  <w:abstractNum w:abstractNumId="4">
    <w:nsid w:val="2C8AC223"/>
    <w:multiLevelType w:val="singleLevel"/>
    <w:tmpl w:val="2C8AC223"/>
    <w:lvl w:ilvl="0" w:tentative="0">
      <w:start w:val="1"/>
      <w:numFmt w:val="decimal"/>
      <w:suff w:val="nothing"/>
      <w:lvlText w:val="（%1）"/>
      <w:lvlJc w:val="left"/>
    </w:lvl>
  </w:abstractNum>
  <w:abstractNum w:abstractNumId="5">
    <w:nsid w:val="33A0459A"/>
    <w:multiLevelType w:val="multilevel"/>
    <w:tmpl w:val="33A0459A"/>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9B72557"/>
    <w:multiLevelType w:val="singleLevel"/>
    <w:tmpl w:val="39B72557"/>
    <w:lvl w:ilvl="0" w:tentative="0">
      <w:start w:val="1"/>
      <w:numFmt w:val="chineseCounting"/>
      <w:suff w:val="space"/>
      <w:lvlText w:val="第%1章"/>
      <w:lvlJc w:val="left"/>
      <w:rPr>
        <w:rFonts w:hint="eastAsia"/>
      </w:rPr>
    </w:lvl>
  </w:abstractNum>
  <w:abstractNum w:abstractNumId="7">
    <w:nsid w:val="5C086025"/>
    <w:multiLevelType w:val="multilevel"/>
    <w:tmpl w:val="5C086025"/>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6"/>
  </w:num>
  <w:num w:numId="2">
    <w:abstractNumId w:val="7"/>
  </w:num>
  <w:num w:numId="3">
    <w:abstractNumId w:val="1"/>
  </w:num>
  <w:num w:numId="4">
    <w:abstractNumId w:val="2"/>
  </w:num>
  <w:num w:numId="5">
    <w:abstractNumId w:val="3"/>
  </w:num>
  <w:num w:numId="6">
    <w:abstractNumId w:val="4"/>
  </w:num>
  <w:num w:numId="7">
    <w:abstractNumId w:val="5"/>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s>
  <w:rsids>
    <w:rsidRoot w:val="41276B18"/>
    <w:rsid w:val="00002DA7"/>
    <w:rsid w:val="0001358E"/>
    <w:rsid w:val="0002634B"/>
    <w:rsid w:val="0003099B"/>
    <w:rsid w:val="00045CBC"/>
    <w:rsid w:val="00054C1A"/>
    <w:rsid w:val="00064D66"/>
    <w:rsid w:val="00076C07"/>
    <w:rsid w:val="00080AF2"/>
    <w:rsid w:val="00090F85"/>
    <w:rsid w:val="00094B5C"/>
    <w:rsid w:val="000968FA"/>
    <w:rsid w:val="000A1D22"/>
    <w:rsid w:val="000B29EB"/>
    <w:rsid w:val="000C37C1"/>
    <w:rsid w:val="000D086A"/>
    <w:rsid w:val="000D1FE0"/>
    <w:rsid w:val="000D613C"/>
    <w:rsid w:val="000F7489"/>
    <w:rsid w:val="0010503C"/>
    <w:rsid w:val="00107A29"/>
    <w:rsid w:val="001105A0"/>
    <w:rsid w:val="00121466"/>
    <w:rsid w:val="001249D9"/>
    <w:rsid w:val="001252D1"/>
    <w:rsid w:val="00131F5C"/>
    <w:rsid w:val="00141226"/>
    <w:rsid w:val="0016615E"/>
    <w:rsid w:val="001756E7"/>
    <w:rsid w:val="001757DF"/>
    <w:rsid w:val="001A377A"/>
    <w:rsid w:val="001B5796"/>
    <w:rsid w:val="001C1760"/>
    <w:rsid w:val="001C5942"/>
    <w:rsid w:val="001D0A7C"/>
    <w:rsid w:val="002145B5"/>
    <w:rsid w:val="002331A0"/>
    <w:rsid w:val="00246E16"/>
    <w:rsid w:val="0024781A"/>
    <w:rsid w:val="002564A6"/>
    <w:rsid w:val="0026213F"/>
    <w:rsid w:val="0029100F"/>
    <w:rsid w:val="002B2F97"/>
    <w:rsid w:val="002B317C"/>
    <w:rsid w:val="002C388D"/>
    <w:rsid w:val="002C6756"/>
    <w:rsid w:val="002D1B8D"/>
    <w:rsid w:val="002D64E0"/>
    <w:rsid w:val="002E1640"/>
    <w:rsid w:val="002E5A7B"/>
    <w:rsid w:val="002F42F6"/>
    <w:rsid w:val="0032229E"/>
    <w:rsid w:val="00323776"/>
    <w:rsid w:val="00324101"/>
    <w:rsid w:val="00337761"/>
    <w:rsid w:val="00337E4F"/>
    <w:rsid w:val="00350561"/>
    <w:rsid w:val="00354529"/>
    <w:rsid w:val="00374F5E"/>
    <w:rsid w:val="00390D90"/>
    <w:rsid w:val="0039482C"/>
    <w:rsid w:val="003A6EFF"/>
    <w:rsid w:val="003B314D"/>
    <w:rsid w:val="003B7E71"/>
    <w:rsid w:val="003D6D23"/>
    <w:rsid w:val="003F18CF"/>
    <w:rsid w:val="003F631F"/>
    <w:rsid w:val="00410F7B"/>
    <w:rsid w:val="0041309E"/>
    <w:rsid w:val="0041314A"/>
    <w:rsid w:val="0042374D"/>
    <w:rsid w:val="0042552E"/>
    <w:rsid w:val="00431C35"/>
    <w:rsid w:val="00461DE8"/>
    <w:rsid w:val="004655B7"/>
    <w:rsid w:val="00470DDB"/>
    <w:rsid w:val="004733CE"/>
    <w:rsid w:val="00492F69"/>
    <w:rsid w:val="004B1220"/>
    <w:rsid w:val="004B52D4"/>
    <w:rsid w:val="004C26DA"/>
    <w:rsid w:val="004C7AD6"/>
    <w:rsid w:val="004D3173"/>
    <w:rsid w:val="004D3F33"/>
    <w:rsid w:val="004E1502"/>
    <w:rsid w:val="004F1A83"/>
    <w:rsid w:val="004F6AAD"/>
    <w:rsid w:val="00507BB4"/>
    <w:rsid w:val="00523CA3"/>
    <w:rsid w:val="00525923"/>
    <w:rsid w:val="005343A0"/>
    <w:rsid w:val="00550F73"/>
    <w:rsid w:val="005554C8"/>
    <w:rsid w:val="0057366B"/>
    <w:rsid w:val="005753C9"/>
    <w:rsid w:val="005875CA"/>
    <w:rsid w:val="005A3198"/>
    <w:rsid w:val="005B0858"/>
    <w:rsid w:val="005C0BB7"/>
    <w:rsid w:val="005C5E33"/>
    <w:rsid w:val="005D6148"/>
    <w:rsid w:val="005F18A2"/>
    <w:rsid w:val="006065A5"/>
    <w:rsid w:val="00616394"/>
    <w:rsid w:val="006318A8"/>
    <w:rsid w:val="00641FAD"/>
    <w:rsid w:val="0067726B"/>
    <w:rsid w:val="00681307"/>
    <w:rsid w:val="00693F56"/>
    <w:rsid w:val="006A23EE"/>
    <w:rsid w:val="006A6B43"/>
    <w:rsid w:val="006B4791"/>
    <w:rsid w:val="006C4109"/>
    <w:rsid w:val="006F7ABC"/>
    <w:rsid w:val="0070585C"/>
    <w:rsid w:val="00706B34"/>
    <w:rsid w:val="007148EE"/>
    <w:rsid w:val="00725309"/>
    <w:rsid w:val="00725F73"/>
    <w:rsid w:val="0073547A"/>
    <w:rsid w:val="00740B63"/>
    <w:rsid w:val="00741153"/>
    <w:rsid w:val="00742460"/>
    <w:rsid w:val="0075780A"/>
    <w:rsid w:val="00757E57"/>
    <w:rsid w:val="007633DB"/>
    <w:rsid w:val="007669AF"/>
    <w:rsid w:val="007834EB"/>
    <w:rsid w:val="00786BFD"/>
    <w:rsid w:val="007A561B"/>
    <w:rsid w:val="007B2137"/>
    <w:rsid w:val="007D539A"/>
    <w:rsid w:val="007D6682"/>
    <w:rsid w:val="007E33BD"/>
    <w:rsid w:val="00806CE0"/>
    <w:rsid w:val="00810C3D"/>
    <w:rsid w:val="008160B0"/>
    <w:rsid w:val="00816E15"/>
    <w:rsid w:val="008236DD"/>
    <w:rsid w:val="00846172"/>
    <w:rsid w:val="0084647D"/>
    <w:rsid w:val="00850ECA"/>
    <w:rsid w:val="008535C9"/>
    <w:rsid w:val="00853F5A"/>
    <w:rsid w:val="008626CD"/>
    <w:rsid w:val="0087547E"/>
    <w:rsid w:val="008808E3"/>
    <w:rsid w:val="00885381"/>
    <w:rsid w:val="0088742F"/>
    <w:rsid w:val="008A7A79"/>
    <w:rsid w:val="008B1379"/>
    <w:rsid w:val="008B4F25"/>
    <w:rsid w:val="008E6D3A"/>
    <w:rsid w:val="008F76D6"/>
    <w:rsid w:val="00903D8B"/>
    <w:rsid w:val="0090663F"/>
    <w:rsid w:val="00923B61"/>
    <w:rsid w:val="00926244"/>
    <w:rsid w:val="00942B39"/>
    <w:rsid w:val="0094713A"/>
    <w:rsid w:val="00951C03"/>
    <w:rsid w:val="00951CA3"/>
    <w:rsid w:val="00953470"/>
    <w:rsid w:val="0095698A"/>
    <w:rsid w:val="00966102"/>
    <w:rsid w:val="00967DC9"/>
    <w:rsid w:val="009861A4"/>
    <w:rsid w:val="009B17AF"/>
    <w:rsid w:val="009C0771"/>
    <w:rsid w:val="009C481D"/>
    <w:rsid w:val="009C5455"/>
    <w:rsid w:val="009D1249"/>
    <w:rsid w:val="009D484A"/>
    <w:rsid w:val="009D65C8"/>
    <w:rsid w:val="009D7927"/>
    <w:rsid w:val="009E5F76"/>
    <w:rsid w:val="00A00D43"/>
    <w:rsid w:val="00A04223"/>
    <w:rsid w:val="00A31235"/>
    <w:rsid w:val="00A31D02"/>
    <w:rsid w:val="00A34B06"/>
    <w:rsid w:val="00A51409"/>
    <w:rsid w:val="00A71F37"/>
    <w:rsid w:val="00A80260"/>
    <w:rsid w:val="00AB58A3"/>
    <w:rsid w:val="00AD297A"/>
    <w:rsid w:val="00AE1337"/>
    <w:rsid w:val="00AE47FF"/>
    <w:rsid w:val="00B07E89"/>
    <w:rsid w:val="00B135E5"/>
    <w:rsid w:val="00B20978"/>
    <w:rsid w:val="00B3034B"/>
    <w:rsid w:val="00B30354"/>
    <w:rsid w:val="00B306B0"/>
    <w:rsid w:val="00B33E43"/>
    <w:rsid w:val="00B42D4C"/>
    <w:rsid w:val="00B444E1"/>
    <w:rsid w:val="00B450B3"/>
    <w:rsid w:val="00B56D5C"/>
    <w:rsid w:val="00B61574"/>
    <w:rsid w:val="00B66BCD"/>
    <w:rsid w:val="00B752E1"/>
    <w:rsid w:val="00B97885"/>
    <w:rsid w:val="00BB37FC"/>
    <w:rsid w:val="00BC12E2"/>
    <w:rsid w:val="00BC29C9"/>
    <w:rsid w:val="00BC508A"/>
    <w:rsid w:val="00BE1018"/>
    <w:rsid w:val="00BE4153"/>
    <w:rsid w:val="00BF59DD"/>
    <w:rsid w:val="00C10053"/>
    <w:rsid w:val="00C169F3"/>
    <w:rsid w:val="00C25EE1"/>
    <w:rsid w:val="00C2739C"/>
    <w:rsid w:val="00C33B24"/>
    <w:rsid w:val="00C419FD"/>
    <w:rsid w:val="00C44A9E"/>
    <w:rsid w:val="00C5224E"/>
    <w:rsid w:val="00C54E7A"/>
    <w:rsid w:val="00C55E82"/>
    <w:rsid w:val="00C6303E"/>
    <w:rsid w:val="00C709CB"/>
    <w:rsid w:val="00C7716F"/>
    <w:rsid w:val="00C83D73"/>
    <w:rsid w:val="00C91F44"/>
    <w:rsid w:val="00CA584B"/>
    <w:rsid w:val="00CA628B"/>
    <w:rsid w:val="00CB0F48"/>
    <w:rsid w:val="00CB442A"/>
    <w:rsid w:val="00CD1E53"/>
    <w:rsid w:val="00CF4EDF"/>
    <w:rsid w:val="00CF704D"/>
    <w:rsid w:val="00D004F1"/>
    <w:rsid w:val="00D01D2D"/>
    <w:rsid w:val="00D02399"/>
    <w:rsid w:val="00D1463C"/>
    <w:rsid w:val="00D502E5"/>
    <w:rsid w:val="00D52A13"/>
    <w:rsid w:val="00D62391"/>
    <w:rsid w:val="00D8585C"/>
    <w:rsid w:val="00D95C77"/>
    <w:rsid w:val="00DA0586"/>
    <w:rsid w:val="00DA23D9"/>
    <w:rsid w:val="00DA608A"/>
    <w:rsid w:val="00DA72C1"/>
    <w:rsid w:val="00DB374A"/>
    <w:rsid w:val="00DB707F"/>
    <w:rsid w:val="00DE2884"/>
    <w:rsid w:val="00DE3043"/>
    <w:rsid w:val="00DE7A96"/>
    <w:rsid w:val="00DF6525"/>
    <w:rsid w:val="00E00F47"/>
    <w:rsid w:val="00E049F6"/>
    <w:rsid w:val="00E04F6C"/>
    <w:rsid w:val="00E04FAE"/>
    <w:rsid w:val="00E12A41"/>
    <w:rsid w:val="00E141D5"/>
    <w:rsid w:val="00E173B7"/>
    <w:rsid w:val="00E42FF4"/>
    <w:rsid w:val="00E45CCF"/>
    <w:rsid w:val="00E568E8"/>
    <w:rsid w:val="00E7033A"/>
    <w:rsid w:val="00E827EE"/>
    <w:rsid w:val="00E9387C"/>
    <w:rsid w:val="00EA0528"/>
    <w:rsid w:val="00EB15D8"/>
    <w:rsid w:val="00EB1D40"/>
    <w:rsid w:val="00EC0C03"/>
    <w:rsid w:val="00EC48E0"/>
    <w:rsid w:val="00EC61C2"/>
    <w:rsid w:val="00ED58B2"/>
    <w:rsid w:val="00F431B9"/>
    <w:rsid w:val="00F63211"/>
    <w:rsid w:val="00F71094"/>
    <w:rsid w:val="00F80C03"/>
    <w:rsid w:val="00F81966"/>
    <w:rsid w:val="00F82637"/>
    <w:rsid w:val="00F8497B"/>
    <w:rsid w:val="00F915B7"/>
    <w:rsid w:val="00FA264D"/>
    <w:rsid w:val="00FC0DD3"/>
    <w:rsid w:val="00FC6E81"/>
    <w:rsid w:val="00FD4785"/>
    <w:rsid w:val="019A6F8A"/>
    <w:rsid w:val="01F2320E"/>
    <w:rsid w:val="029754CF"/>
    <w:rsid w:val="035C6B4E"/>
    <w:rsid w:val="03A11EB6"/>
    <w:rsid w:val="049665AD"/>
    <w:rsid w:val="04B52C5F"/>
    <w:rsid w:val="055F1200"/>
    <w:rsid w:val="06334DDB"/>
    <w:rsid w:val="068C404A"/>
    <w:rsid w:val="08971C0E"/>
    <w:rsid w:val="09634367"/>
    <w:rsid w:val="09A17C56"/>
    <w:rsid w:val="09D70729"/>
    <w:rsid w:val="09F42359"/>
    <w:rsid w:val="0A93759F"/>
    <w:rsid w:val="0AB84753"/>
    <w:rsid w:val="0C056389"/>
    <w:rsid w:val="0C232EDA"/>
    <w:rsid w:val="0C4C3772"/>
    <w:rsid w:val="0C521A44"/>
    <w:rsid w:val="0D242D41"/>
    <w:rsid w:val="0D4A5F0F"/>
    <w:rsid w:val="0D4A669B"/>
    <w:rsid w:val="0D75536F"/>
    <w:rsid w:val="0DC108C7"/>
    <w:rsid w:val="0E772D33"/>
    <w:rsid w:val="0EA224A6"/>
    <w:rsid w:val="0F5E0709"/>
    <w:rsid w:val="104024BB"/>
    <w:rsid w:val="10580BDC"/>
    <w:rsid w:val="10A36C43"/>
    <w:rsid w:val="11024D92"/>
    <w:rsid w:val="12147CCE"/>
    <w:rsid w:val="12860AAD"/>
    <w:rsid w:val="12E47CD7"/>
    <w:rsid w:val="136E2957"/>
    <w:rsid w:val="140C2147"/>
    <w:rsid w:val="14261044"/>
    <w:rsid w:val="144D0C2E"/>
    <w:rsid w:val="14AB1989"/>
    <w:rsid w:val="14DF3224"/>
    <w:rsid w:val="15797E86"/>
    <w:rsid w:val="16A33C75"/>
    <w:rsid w:val="16AF39B2"/>
    <w:rsid w:val="178A3247"/>
    <w:rsid w:val="1A112886"/>
    <w:rsid w:val="1A1C25E2"/>
    <w:rsid w:val="1AEE7CF9"/>
    <w:rsid w:val="1B8478B6"/>
    <w:rsid w:val="1CC5014A"/>
    <w:rsid w:val="1D674E4A"/>
    <w:rsid w:val="1D98768C"/>
    <w:rsid w:val="1E1365C6"/>
    <w:rsid w:val="1E2F3892"/>
    <w:rsid w:val="1E5C3A77"/>
    <w:rsid w:val="1F833C2E"/>
    <w:rsid w:val="20196340"/>
    <w:rsid w:val="20464A3D"/>
    <w:rsid w:val="20576207"/>
    <w:rsid w:val="207A092D"/>
    <w:rsid w:val="21A6237F"/>
    <w:rsid w:val="21E169EA"/>
    <w:rsid w:val="22137C71"/>
    <w:rsid w:val="226F5FA2"/>
    <w:rsid w:val="236A352C"/>
    <w:rsid w:val="24311667"/>
    <w:rsid w:val="245C67FB"/>
    <w:rsid w:val="24831FDA"/>
    <w:rsid w:val="251F67AE"/>
    <w:rsid w:val="265F25D3"/>
    <w:rsid w:val="26964247"/>
    <w:rsid w:val="269746AD"/>
    <w:rsid w:val="26EE1335"/>
    <w:rsid w:val="27C0561D"/>
    <w:rsid w:val="27E75C64"/>
    <w:rsid w:val="28B80FC2"/>
    <w:rsid w:val="29953963"/>
    <w:rsid w:val="2C385DA0"/>
    <w:rsid w:val="2D294739"/>
    <w:rsid w:val="2D453680"/>
    <w:rsid w:val="2DEB6A75"/>
    <w:rsid w:val="2ECA5DDA"/>
    <w:rsid w:val="2FF124EE"/>
    <w:rsid w:val="30532B78"/>
    <w:rsid w:val="316450AF"/>
    <w:rsid w:val="324101D8"/>
    <w:rsid w:val="327F5C3B"/>
    <w:rsid w:val="3362164B"/>
    <w:rsid w:val="339B4EF5"/>
    <w:rsid w:val="344B15E7"/>
    <w:rsid w:val="34545741"/>
    <w:rsid w:val="357B3367"/>
    <w:rsid w:val="35F5126F"/>
    <w:rsid w:val="36AB3E1C"/>
    <w:rsid w:val="379063F5"/>
    <w:rsid w:val="37A53F0D"/>
    <w:rsid w:val="37DC1CD5"/>
    <w:rsid w:val="381B0A50"/>
    <w:rsid w:val="384042A0"/>
    <w:rsid w:val="38591139"/>
    <w:rsid w:val="388859B9"/>
    <w:rsid w:val="3913091E"/>
    <w:rsid w:val="39167469"/>
    <w:rsid w:val="39713C7E"/>
    <w:rsid w:val="398E611F"/>
    <w:rsid w:val="39BA7690"/>
    <w:rsid w:val="39BE40AD"/>
    <w:rsid w:val="3A7519D1"/>
    <w:rsid w:val="3A841940"/>
    <w:rsid w:val="3AE505EB"/>
    <w:rsid w:val="3B035DFD"/>
    <w:rsid w:val="3BB52A03"/>
    <w:rsid w:val="3CA31E89"/>
    <w:rsid w:val="3CEB533F"/>
    <w:rsid w:val="3D023CFD"/>
    <w:rsid w:val="3E1B10D5"/>
    <w:rsid w:val="3EA877A0"/>
    <w:rsid w:val="406214AE"/>
    <w:rsid w:val="40FC0CF2"/>
    <w:rsid w:val="41276B18"/>
    <w:rsid w:val="41526A99"/>
    <w:rsid w:val="41C8164F"/>
    <w:rsid w:val="427A0CC6"/>
    <w:rsid w:val="445252F7"/>
    <w:rsid w:val="448E07FB"/>
    <w:rsid w:val="45B86C0B"/>
    <w:rsid w:val="4811243F"/>
    <w:rsid w:val="4ACD018C"/>
    <w:rsid w:val="4B102504"/>
    <w:rsid w:val="4C3D6D0E"/>
    <w:rsid w:val="4C8E0388"/>
    <w:rsid w:val="4C9702F9"/>
    <w:rsid w:val="4D6E2F13"/>
    <w:rsid w:val="4DB4352F"/>
    <w:rsid w:val="4E0F4556"/>
    <w:rsid w:val="4ECC194B"/>
    <w:rsid w:val="4EDB5052"/>
    <w:rsid w:val="4F730D1A"/>
    <w:rsid w:val="4FF17D01"/>
    <w:rsid w:val="503A5393"/>
    <w:rsid w:val="503D4176"/>
    <w:rsid w:val="50506618"/>
    <w:rsid w:val="50C75131"/>
    <w:rsid w:val="515E412C"/>
    <w:rsid w:val="517A1105"/>
    <w:rsid w:val="527E5A0B"/>
    <w:rsid w:val="53F201E5"/>
    <w:rsid w:val="54AC2631"/>
    <w:rsid w:val="54B93801"/>
    <w:rsid w:val="54DD5749"/>
    <w:rsid w:val="54E63D3C"/>
    <w:rsid w:val="56E524FD"/>
    <w:rsid w:val="578749B4"/>
    <w:rsid w:val="57D460CD"/>
    <w:rsid w:val="596B67BC"/>
    <w:rsid w:val="5A731BCE"/>
    <w:rsid w:val="5AF01470"/>
    <w:rsid w:val="5B4B3DEB"/>
    <w:rsid w:val="5BAD1FF2"/>
    <w:rsid w:val="5BB0330D"/>
    <w:rsid w:val="5BF528B4"/>
    <w:rsid w:val="5D3C3500"/>
    <w:rsid w:val="5D5F7121"/>
    <w:rsid w:val="5E413D91"/>
    <w:rsid w:val="5E90779B"/>
    <w:rsid w:val="5F2E6F33"/>
    <w:rsid w:val="5F937A23"/>
    <w:rsid w:val="604E3307"/>
    <w:rsid w:val="60935FB6"/>
    <w:rsid w:val="624E541A"/>
    <w:rsid w:val="62A37788"/>
    <w:rsid w:val="63F35B2D"/>
    <w:rsid w:val="64846B00"/>
    <w:rsid w:val="64B4160D"/>
    <w:rsid w:val="65270184"/>
    <w:rsid w:val="67136C12"/>
    <w:rsid w:val="675B2367"/>
    <w:rsid w:val="68E6689B"/>
    <w:rsid w:val="69207D68"/>
    <w:rsid w:val="69AF2298"/>
    <w:rsid w:val="69D162E8"/>
    <w:rsid w:val="6A0D2BC1"/>
    <w:rsid w:val="6A1A02B8"/>
    <w:rsid w:val="6A7E767D"/>
    <w:rsid w:val="6AC726A2"/>
    <w:rsid w:val="6AD85A47"/>
    <w:rsid w:val="6B1C6882"/>
    <w:rsid w:val="6B253C12"/>
    <w:rsid w:val="6BA35D05"/>
    <w:rsid w:val="6BCB7ABB"/>
    <w:rsid w:val="6C2A0DA3"/>
    <w:rsid w:val="6C69454C"/>
    <w:rsid w:val="6D535020"/>
    <w:rsid w:val="6D6F65B2"/>
    <w:rsid w:val="6DF07BE2"/>
    <w:rsid w:val="6DF95C35"/>
    <w:rsid w:val="6F656188"/>
    <w:rsid w:val="6F745FCF"/>
    <w:rsid w:val="6F7856C4"/>
    <w:rsid w:val="6FD64C81"/>
    <w:rsid w:val="6FDB531D"/>
    <w:rsid w:val="70827D2B"/>
    <w:rsid w:val="73064314"/>
    <w:rsid w:val="74654825"/>
    <w:rsid w:val="75301DA6"/>
    <w:rsid w:val="75A75FEA"/>
    <w:rsid w:val="75AB4A99"/>
    <w:rsid w:val="76004806"/>
    <w:rsid w:val="773D7394"/>
    <w:rsid w:val="77647D27"/>
    <w:rsid w:val="797B2E6B"/>
    <w:rsid w:val="7A532DF5"/>
    <w:rsid w:val="7B3D3E06"/>
    <w:rsid w:val="7CAC1243"/>
    <w:rsid w:val="7D60202E"/>
    <w:rsid w:val="7D656E30"/>
    <w:rsid w:val="7E2B7595"/>
    <w:rsid w:val="7E9B156F"/>
    <w:rsid w:val="7FA257A7"/>
    <w:rsid w:val="7FAE68DC"/>
    <w:rsid w:val="7FF7AE3B"/>
    <w:rsid w:val="E7FFE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3"/>
    <w:autoRedefine/>
    <w:qFormat/>
    <w:uiPriority w:val="0"/>
    <w:pPr>
      <w:jc w:val="left"/>
      <w:outlineLvl w:val="0"/>
    </w:pPr>
    <w:rPr>
      <w:rFonts w:hint="eastAsia" w:ascii="黑体" w:hAnsi="宋体" w:eastAsia="黑体" w:cs="Times New Roman"/>
      <w:b/>
      <w:kern w:val="0"/>
      <w:sz w:val="32"/>
      <w:szCs w:val="32"/>
    </w:rPr>
  </w:style>
  <w:style w:type="paragraph" w:styleId="3">
    <w:name w:val="heading 2"/>
    <w:basedOn w:val="1"/>
    <w:next w:val="1"/>
    <w:autoRedefine/>
    <w:qFormat/>
    <w:uiPriority w:val="0"/>
    <w:pPr>
      <w:spacing w:before="260" w:after="260" w:line="415" w:lineRule="auto"/>
      <w:outlineLvl w:val="1"/>
    </w:pPr>
    <w:rPr>
      <w:rFonts w:ascii="Arial" w:hAnsi="Arial" w:eastAsia="黑体" w:cs="Arial"/>
      <w:b/>
      <w:bCs/>
      <w:sz w:val="32"/>
      <w:szCs w:val="32"/>
    </w:rPr>
  </w:style>
  <w:style w:type="paragraph" w:styleId="4">
    <w:name w:val="heading 3"/>
    <w:basedOn w:val="1"/>
    <w:next w:val="1"/>
    <w:link w:val="65"/>
    <w:autoRedefine/>
    <w:qFormat/>
    <w:uiPriority w:val="1"/>
    <w:pPr>
      <w:ind w:left="220"/>
      <w:outlineLvl w:val="2"/>
    </w:pPr>
    <w:rPr>
      <w:rFonts w:ascii="宋体" w:hAnsi="宋体" w:eastAsia="宋体" w:cs="宋体"/>
      <w:b/>
      <w:bCs/>
      <w:sz w:val="24"/>
      <w:lang w:val="zh-CN" w:bidi="zh-CN"/>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szCs w:val="22"/>
    </w:rPr>
  </w:style>
  <w:style w:type="paragraph" w:styleId="6">
    <w:name w:val="Normal Indent"/>
    <w:basedOn w:val="1"/>
    <w:autoRedefine/>
    <w:qFormat/>
    <w:uiPriority w:val="0"/>
    <w:pPr>
      <w:ind w:firstLine="420"/>
      <w:jc w:val="left"/>
    </w:pPr>
    <w:rPr>
      <w:rFonts w:ascii="Calibri" w:hAnsi="Calibri" w:eastAsia="Calibri" w:cs="Times New Roman"/>
      <w:kern w:val="0"/>
      <w:sz w:val="20"/>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jc w:val="left"/>
    </w:pPr>
    <w:rPr>
      <w:rFonts w:ascii="Calibri" w:hAnsi="Calibri" w:eastAsia="Calibri" w:cs="Times New Roman"/>
      <w:kern w:val="0"/>
      <w:sz w:val="22"/>
      <w:szCs w:val="22"/>
    </w:rPr>
  </w:style>
  <w:style w:type="paragraph" w:styleId="9">
    <w:name w:val="Body Text Indent"/>
    <w:basedOn w:val="1"/>
    <w:next w:val="10"/>
    <w:autoRedefine/>
    <w:qFormat/>
    <w:uiPriority w:val="0"/>
    <w:pPr>
      <w:spacing w:after="120"/>
      <w:ind w:left="420" w:leftChars="200"/>
    </w:pPr>
  </w:style>
  <w:style w:type="paragraph" w:styleId="10">
    <w:name w:val="envelope return"/>
    <w:basedOn w:val="1"/>
    <w:next w:val="9"/>
    <w:autoRedefine/>
    <w:qFormat/>
    <w:uiPriority w:val="0"/>
    <w:pPr>
      <w:snapToGrid w:val="0"/>
    </w:pPr>
    <w:rPr>
      <w:rFonts w:ascii="Arial" w:hAnsi="Arial"/>
    </w:rPr>
  </w:style>
  <w:style w:type="paragraph" w:styleId="11">
    <w:name w:val="List 2"/>
    <w:basedOn w:val="1"/>
    <w:autoRedefine/>
    <w:qFormat/>
    <w:uiPriority w:val="0"/>
    <w:pPr>
      <w:ind w:left="100" w:leftChars="200" w:hanging="200" w:hangingChars="200"/>
      <w:jc w:val="left"/>
    </w:pPr>
    <w:rPr>
      <w:rFonts w:ascii="Times New Roman" w:hAnsi="Times New Roman" w:eastAsia="Calibri" w:cs="Times New Roman"/>
      <w:kern w:val="0"/>
      <w:sz w:val="22"/>
    </w:rPr>
  </w:style>
  <w:style w:type="paragraph" w:styleId="12">
    <w:name w:val="toc 5"/>
    <w:basedOn w:val="1"/>
    <w:next w:val="1"/>
    <w:autoRedefine/>
    <w:unhideWhenUsed/>
    <w:qFormat/>
    <w:uiPriority w:val="39"/>
    <w:pPr>
      <w:ind w:left="1680" w:leftChars="800"/>
    </w:pPr>
    <w:rPr>
      <w:szCs w:val="22"/>
    </w:rPr>
  </w:style>
  <w:style w:type="paragraph" w:styleId="13">
    <w:name w:val="toc 3"/>
    <w:basedOn w:val="1"/>
    <w:next w:val="1"/>
    <w:autoRedefine/>
    <w:unhideWhenUsed/>
    <w:qFormat/>
    <w:uiPriority w:val="39"/>
    <w:pPr>
      <w:ind w:left="840" w:leftChars="400"/>
    </w:pPr>
    <w:rPr>
      <w:szCs w:val="22"/>
    </w:rPr>
  </w:style>
  <w:style w:type="paragraph" w:styleId="14">
    <w:name w:val="Plain Text"/>
    <w:basedOn w:val="1"/>
    <w:autoRedefine/>
    <w:qFormat/>
    <w:uiPriority w:val="0"/>
    <w:rPr>
      <w:rFonts w:ascii="宋体" w:hAnsi="Courier New"/>
    </w:rPr>
  </w:style>
  <w:style w:type="paragraph" w:styleId="15">
    <w:name w:val="toc 8"/>
    <w:basedOn w:val="1"/>
    <w:next w:val="1"/>
    <w:autoRedefine/>
    <w:unhideWhenUsed/>
    <w:qFormat/>
    <w:uiPriority w:val="39"/>
    <w:pPr>
      <w:ind w:left="2940" w:leftChars="1400"/>
    </w:pPr>
    <w:rPr>
      <w:szCs w:val="22"/>
    </w:rPr>
  </w:style>
  <w:style w:type="paragraph" w:styleId="16">
    <w:name w:val="Balloon Text"/>
    <w:basedOn w:val="1"/>
    <w:link w:val="64"/>
    <w:autoRedefine/>
    <w:qFormat/>
    <w:uiPriority w:val="0"/>
    <w:rPr>
      <w:sz w:val="18"/>
      <w:szCs w:val="18"/>
    </w:rPr>
  </w:style>
  <w:style w:type="paragraph" w:styleId="17">
    <w:name w:val="footer"/>
    <w:basedOn w:val="1"/>
    <w:link w:val="68"/>
    <w:autoRedefine/>
    <w:qFormat/>
    <w:uiPriority w:val="99"/>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pPr>
      <w:spacing w:before="116"/>
      <w:ind w:left="18"/>
      <w:jc w:val="left"/>
    </w:pPr>
    <w:rPr>
      <w:rFonts w:hint="eastAsia" w:ascii="宋体" w:hAnsi="宋体" w:eastAsia="宋体" w:cs="Times New Roman"/>
      <w:kern w:val="0"/>
      <w:sz w:val="28"/>
      <w:szCs w:val="28"/>
    </w:rPr>
  </w:style>
  <w:style w:type="paragraph" w:styleId="20">
    <w:name w:val="toc 4"/>
    <w:basedOn w:val="1"/>
    <w:next w:val="1"/>
    <w:autoRedefine/>
    <w:unhideWhenUsed/>
    <w:qFormat/>
    <w:uiPriority w:val="39"/>
    <w:pPr>
      <w:ind w:left="1260" w:leftChars="600"/>
    </w:pPr>
    <w:rPr>
      <w:szCs w:val="22"/>
    </w:rPr>
  </w:style>
  <w:style w:type="paragraph" w:styleId="21">
    <w:name w:val="List"/>
    <w:basedOn w:val="1"/>
    <w:next w:val="1"/>
    <w:autoRedefine/>
    <w:qFormat/>
    <w:uiPriority w:val="0"/>
    <w:pPr>
      <w:ind w:left="200" w:hanging="200" w:hangingChars="200"/>
    </w:pPr>
  </w:style>
  <w:style w:type="paragraph" w:styleId="22">
    <w:name w:val="toc 6"/>
    <w:basedOn w:val="1"/>
    <w:next w:val="1"/>
    <w:autoRedefine/>
    <w:unhideWhenUsed/>
    <w:qFormat/>
    <w:uiPriority w:val="39"/>
    <w:pPr>
      <w:ind w:left="2100" w:leftChars="1000"/>
    </w:pPr>
    <w:rPr>
      <w:szCs w:val="22"/>
    </w:rPr>
  </w:style>
  <w:style w:type="paragraph" w:styleId="23">
    <w:name w:val="toc 2"/>
    <w:basedOn w:val="1"/>
    <w:next w:val="1"/>
    <w:autoRedefine/>
    <w:qFormat/>
    <w:uiPriority w:val="39"/>
    <w:pPr>
      <w:ind w:left="210"/>
      <w:jc w:val="left"/>
    </w:pPr>
    <w:rPr>
      <w:smallCaps/>
      <w:sz w:val="28"/>
    </w:rPr>
  </w:style>
  <w:style w:type="paragraph" w:styleId="24">
    <w:name w:val="toc 9"/>
    <w:basedOn w:val="1"/>
    <w:next w:val="1"/>
    <w:link w:val="69"/>
    <w:autoRedefine/>
    <w:unhideWhenUsed/>
    <w:qFormat/>
    <w:uiPriority w:val="39"/>
    <w:pPr>
      <w:ind w:left="3360" w:leftChars="1600"/>
    </w:pPr>
    <w:rPr>
      <w:szCs w:val="22"/>
    </w:rPr>
  </w:style>
  <w:style w:type="paragraph" w:styleId="25">
    <w:name w:val="Normal (Web)"/>
    <w:basedOn w:val="1"/>
    <w:link w:val="70"/>
    <w:autoRedefine/>
    <w:qFormat/>
    <w:uiPriority w:val="0"/>
    <w:pPr>
      <w:spacing w:beforeAutospacing="1" w:afterAutospacing="1"/>
      <w:jc w:val="left"/>
    </w:pPr>
    <w:rPr>
      <w:rFonts w:ascii="Arial Unicode MS" w:hAnsi="Arial Unicode MS" w:eastAsia="Calibri" w:cs="Times New Roman"/>
      <w:kern w:val="0"/>
      <w:sz w:val="24"/>
      <w:szCs w:val="22"/>
    </w:rPr>
  </w:style>
  <w:style w:type="paragraph" w:styleId="26">
    <w:name w:val="Body Text First Indent"/>
    <w:basedOn w:val="8"/>
    <w:link w:val="66"/>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27">
    <w:name w:val="Body Text First Indent 2"/>
    <w:basedOn w:val="9"/>
    <w:next w:val="26"/>
    <w:link w:val="67"/>
    <w:autoRedefine/>
    <w:qFormat/>
    <w:uiPriority w:val="0"/>
    <w:pPr>
      <w:ind w:firstLine="420" w:firstLineChars="200"/>
      <w:jc w:val="left"/>
    </w:pPr>
    <w:rPr>
      <w:rFonts w:ascii="Calibri" w:hAnsi="Calibri" w:eastAsia="Calibri" w:cs="Times New Roman"/>
      <w:kern w:val="0"/>
      <w:sz w:val="22"/>
      <w:szCs w:val="22"/>
    </w:rPr>
  </w:style>
  <w:style w:type="table" w:styleId="29">
    <w:name w:val="Table Grid"/>
    <w:basedOn w:val="2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style>
  <w:style w:type="character" w:styleId="32">
    <w:name w:val="FollowedHyperlink"/>
    <w:basedOn w:val="30"/>
    <w:autoRedefine/>
    <w:qFormat/>
    <w:uiPriority w:val="0"/>
    <w:rPr>
      <w:color w:val="800080"/>
      <w:u w:val="none"/>
    </w:rPr>
  </w:style>
  <w:style w:type="character" w:styleId="33">
    <w:name w:val="Emphasis"/>
    <w:basedOn w:val="30"/>
    <w:autoRedefine/>
    <w:qFormat/>
    <w:uiPriority w:val="0"/>
  </w:style>
  <w:style w:type="character" w:styleId="34">
    <w:name w:val="HTML Definition"/>
    <w:basedOn w:val="30"/>
    <w:autoRedefine/>
    <w:qFormat/>
    <w:uiPriority w:val="0"/>
  </w:style>
  <w:style w:type="character" w:styleId="35">
    <w:name w:val="HTML Typewriter"/>
    <w:basedOn w:val="30"/>
    <w:autoRedefine/>
    <w:qFormat/>
    <w:uiPriority w:val="0"/>
    <w:rPr>
      <w:rFonts w:ascii="monospace" w:hAnsi="monospace" w:eastAsia="monospace" w:cs="monospace"/>
      <w:sz w:val="20"/>
    </w:rPr>
  </w:style>
  <w:style w:type="character" w:styleId="36">
    <w:name w:val="HTML Acronym"/>
    <w:basedOn w:val="30"/>
    <w:autoRedefine/>
    <w:qFormat/>
    <w:uiPriority w:val="0"/>
  </w:style>
  <w:style w:type="character" w:styleId="37">
    <w:name w:val="HTML Variable"/>
    <w:basedOn w:val="30"/>
    <w:autoRedefine/>
    <w:qFormat/>
    <w:uiPriority w:val="0"/>
  </w:style>
  <w:style w:type="character" w:styleId="38">
    <w:name w:val="Hyperlink"/>
    <w:basedOn w:val="30"/>
    <w:autoRedefine/>
    <w:qFormat/>
    <w:uiPriority w:val="99"/>
    <w:rPr>
      <w:color w:val="333333"/>
      <w:u w:val="none"/>
    </w:rPr>
  </w:style>
  <w:style w:type="character" w:styleId="39">
    <w:name w:val="HTML Code"/>
    <w:basedOn w:val="30"/>
    <w:autoRedefine/>
    <w:qFormat/>
    <w:uiPriority w:val="0"/>
    <w:rPr>
      <w:rFonts w:hint="default" w:ascii="monospace" w:hAnsi="monospace" w:eastAsia="monospace" w:cs="monospace"/>
      <w:sz w:val="20"/>
    </w:rPr>
  </w:style>
  <w:style w:type="character" w:styleId="40">
    <w:name w:val="HTML Cite"/>
    <w:basedOn w:val="30"/>
    <w:autoRedefine/>
    <w:qFormat/>
    <w:uiPriority w:val="0"/>
  </w:style>
  <w:style w:type="character" w:styleId="41">
    <w:name w:val="HTML Keyboard"/>
    <w:basedOn w:val="30"/>
    <w:autoRedefine/>
    <w:qFormat/>
    <w:uiPriority w:val="0"/>
    <w:rPr>
      <w:rFonts w:hint="default" w:ascii="monospace" w:hAnsi="monospace" w:eastAsia="monospace" w:cs="monospace"/>
      <w:sz w:val="20"/>
    </w:rPr>
  </w:style>
  <w:style w:type="character" w:styleId="42">
    <w:name w:val="HTML Sample"/>
    <w:basedOn w:val="30"/>
    <w:autoRedefine/>
    <w:qFormat/>
    <w:uiPriority w:val="0"/>
    <w:rPr>
      <w:rFonts w:hint="default" w:ascii="monospace" w:hAnsi="monospace" w:eastAsia="monospace" w:cs="monospace"/>
    </w:rPr>
  </w:style>
  <w:style w:type="character" w:customStyle="1" w:styleId="43">
    <w:name w:val="标题 1 Char"/>
    <w:link w:val="2"/>
    <w:autoRedefine/>
    <w:qFormat/>
    <w:uiPriority w:val="0"/>
    <w:rPr>
      <w:rFonts w:hint="eastAsia" w:ascii="黑体" w:hAnsi="宋体" w:eastAsia="黑体" w:cs="Times New Roman"/>
      <w:b/>
      <w:kern w:val="0"/>
      <w:sz w:val="32"/>
      <w:szCs w:val="32"/>
    </w:rPr>
  </w:style>
  <w:style w:type="paragraph" w:customStyle="1" w:styleId="44">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45">
    <w:name w:val="BodyText"/>
    <w:basedOn w:val="1"/>
    <w:autoRedefine/>
    <w:qFormat/>
    <w:uiPriority w:val="0"/>
    <w:pPr>
      <w:spacing w:after="120"/>
      <w:jc w:val="left"/>
      <w:textAlignment w:val="baseline"/>
    </w:pPr>
    <w:rPr>
      <w:rFonts w:ascii="Calibri" w:hAnsi="Calibri"/>
      <w:kern w:val="0"/>
      <w:sz w:val="22"/>
      <w:szCs w:val="22"/>
    </w:rPr>
  </w:style>
  <w:style w:type="character" w:customStyle="1" w:styleId="46">
    <w:name w:val="UserStyle_10"/>
    <w:autoRedefine/>
    <w:qFormat/>
    <w:uiPriority w:val="0"/>
    <w:rPr>
      <w:rFonts w:asciiTheme="minorHAnsi" w:hAnsiTheme="minorHAnsi" w:eastAsiaTheme="minorEastAsia" w:cstheme="minorBidi"/>
      <w:kern w:val="2"/>
      <w:sz w:val="21"/>
      <w:szCs w:val="24"/>
      <w:lang w:val="en-US" w:eastAsia="zh-CN" w:bidi="ar-SA"/>
    </w:rPr>
  </w:style>
  <w:style w:type="paragraph" w:customStyle="1" w:styleId="47">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48">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49">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50">
    <w:name w:val="xl31"/>
    <w:basedOn w:val="1"/>
    <w:autoRedefine/>
    <w:qFormat/>
    <w:uiPriority w:val="0"/>
    <w:pPr>
      <w:spacing w:before="100" w:beforeAutospacing="1" w:after="100" w:afterAutospacing="1"/>
      <w:jc w:val="center"/>
    </w:pPr>
    <w:rPr>
      <w:b/>
      <w:bCs/>
      <w:kern w:val="0"/>
      <w:sz w:val="28"/>
      <w:szCs w:val="28"/>
    </w:rPr>
  </w:style>
  <w:style w:type="character" w:customStyle="1" w:styleId="51">
    <w:name w:val="UserStyle_0"/>
    <w:link w:val="52"/>
    <w:autoRedefine/>
    <w:qFormat/>
    <w:uiPriority w:val="0"/>
    <w:rPr>
      <w:rFonts w:ascii="Times New Roman" w:hAnsi="Times New Roman" w:cs="Calibri"/>
      <w:b/>
      <w:bCs/>
      <w:kern w:val="44"/>
      <w:sz w:val="30"/>
      <w:szCs w:val="30"/>
      <w:lang w:val="en-US" w:eastAsia="zh-CN" w:bidi="ar-SA"/>
    </w:rPr>
  </w:style>
  <w:style w:type="paragraph" w:customStyle="1" w:styleId="52">
    <w:name w:val="Heading1"/>
    <w:basedOn w:val="1"/>
    <w:next w:val="1"/>
    <w:link w:val="51"/>
    <w:autoRedefine/>
    <w:qFormat/>
    <w:uiPriority w:val="0"/>
    <w:pPr>
      <w:jc w:val="left"/>
      <w:textAlignment w:val="baseline"/>
    </w:pPr>
    <w:rPr>
      <w:rFonts w:ascii="Times New Roman" w:hAnsi="Times New Roman" w:cs="Calibri"/>
      <w:b/>
      <w:bCs/>
      <w:kern w:val="44"/>
      <w:sz w:val="30"/>
      <w:szCs w:val="30"/>
    </w:rPr>
  </w:style>
  <w:style w:type="paragraph" w:customStyle="1" w:styleId="53">
    <w:name w:val="Table Paragraph"/>
    <w:basedOn w:val="1"/>
    <w:autoRedefine/>
    <w:qFormat/>
    <w:uiPriority w:val="0"/>
    <w:pPr>
      <w:jc w:val="left"/>
    </w:pPr>
    <w:rPr>
      <w:rFonts w:ascii="Calibri" w:hAnsi="Calibri" w:eastAsia="Calibri" w:cs="Times New Roman"/>
      <w:kern w:val="0"/>
      <w:sz w:val="22"/>
      <w:szCs w:val="22"/>
    </w:rPr>
  </w:style>
  <w:style w:type="paragraph" w:customStyle="1" w:styleId="54">
    <w:name w:val="正文_1"/>
    <w:basedOn w:val="1"/>
    <w:autoRedefine/>
    <w:qFormat/>
    <w:uiPriority w:val="0"/>
    <w:rPr>
      <w:rFonts w:ascii="Times New Roman" w:hAnsi="Times New Roman" w:eastAsia="宋体" w:cs="Times New Roman"/>
      <w:szCs w:val="20"/>
    </w:rPr>
  </w:style>
  <w:style w:type="paragraph" w:customStyle="1" w:styleId="55">
    <w:name w:val="UserStyle_18"/>
    <w:basedOn w:val="1"/>
    <w:autoRedefine/>
    <w:qFormat/>
    <w:uiPriority w:val="0"/>
    <w:pPr>
      <w:textAlignment w:val="baseline"/>
    </w:pPr>
    <w:rPr>
      <w:rFonts w:ascii="Times New Roman" w:hAnsi="Times New Roman"/>
      <w:szCs w:val="21"/>
    </w:rPr>
  </w:style>
  <w:style w:type="paragraph" w:customStyle="1" w:styleId="56">
    <w:name w:val="BodyText1I"/>
    <w:basedOn w:val="45"/>
    <w:autoRedefine/>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57">
    <w:name w:val="_Style 3"/>
    <w:basedOn w:val="1"/>
    <w:autoRedefine/>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58">
    <w:name w:val="Body Text First Indent1"/>
    <w:basedOn w:val="8"/>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59">
    <w:name w:val="first-child1"/>
    <w:basedOn w:val="30"/>
    <w:autoRedefine/>
    <w:qFormat/>
    <w:uiPriority w:val="0"/>
  </w:style>
  <w:style w:type="character" w:customStyle="1" w:styleId="60">
    <w:name w:val="first-child2"/>
    <w:basedOn w:val="30"/>
    <w:autoRedefine/>
    <w:qFormat/>
    <w:uiPriority w:val="0"/>
  </w:style>
  <w:style w:type="character" w:customStyle="1" w:styleId="61">
    <w:name w:val="layui-layer-tabnow"/>
    <w:basedOn w:val="30"/>
    <w:autoRedefine/>
    <w:qFormat/>
    <w:uiPriority w:val="0"/>
    <w:rPr>
      <w:bdr w:val="single" w:color="CCCCCC" w:sz="6" w:space="0"/>
      <w:shd w:val="clear" w:color="auto" w:fill="FFFFFF"/>
    </w:rPr>
  </w:style>
  <w:style w:type="paragraph" w:customStyle="1" w:styleId="62">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styleId="63">
    <w:name w:val="List Paragraph"/>
    <w:basedOn w:val="1"/>
    <w:next w:val="1"/>
    <w:autoRedefine/>
    <w:qFormat/>
    <w:uiPriority w:val="1"/>
    <w:pPr>
      <w:ind w:left="234" w:firstLine="434"/>
    </w:pPr>
    <w:rPr>
      <w:rFonts w:ascii="宋体" w:hAnsi="宋体" w:eastAsia="宋体" w:cs="宋体"/>
      <w:lang w:val="zh-CN" w:bidi="zh-CN"/>
    </w:rPr>
  </w:style>
  <w:style w:type="character" w:customStyle="1" w:styleId="64">
    <w:name w:val="批注框文本 Char"/>
    <w:basedOn w:val="30"/>
    <w:link w:val="16"/>
    <w:autoRedefine/>
    <w:qFormat/>
    <w:uiPriority w:val="0"/>
    <w:rPr>
      <w:rFonts w:asciiTheme="minorHAnsi" w:hAnsiTheme="minorHAnsi" w:eastAsiaTheme="minorEastAsia" w:cstheme="minorBidi"/>
      <w:kern w:val="2"/>
      <w:sz w:val="18"/>
      <w:szCs w:val="18"/>
    </w:rPr>
  </w:style>
  <w:style w:type="character" w:customStyle="1" w:styleId="65">
    <w:name w:val="标题 3 Char"/>
    <w:basedOn w:val="30"/>
    <w:link w:val="4"/>
    <w:autoRedefine/>
    <w:qFormat/>
    <w:uiPriority w:val="1"/>
    <w:rPr>
      <w:rFonts w:ascii="宋体" w:hAnsi="宋体" w:cs="宋体"/>
      <w:b/>
      <w:bCs/>
      <w:kern w:val="2"/>
      <w:sz w:val="24"/>
      <w:szCs w:val="24"/>
      <w:lang w:val="zh-CN" w:bidi="zh-CN"/>
    </w:rPr>
  </w:style>
  <w:style w:type="character" w:customStyle="1" w:styleId="66">
    <w:name w:val="正文首行缩进 Char"/>
    <w:basedOn w:val="30"/>
    <w:link w:val="26"/>
    <w:autoRedefine/>
    <w:qFormat/>
    <w:uiPriority w:val="0"/>
    <w:rPr>
      <w:rFonts w:ascii="Arial" w:hAnsi="Arial" w:eastAsia="仿宋_GB2312"/>
      <w:sz w:val="24"/>
      <w:szCs w:val="32"/>
    </w:rPr>
  </w:style>
  <w:style w:type="character" w:customStyle="1" w:styleId="67">
    <w:name w:val="正文首行缩进 2 Char"/>
    <w:basedOn w:val="30"/>
    <w:link w:val="27"/>
    <w:autoRedefine/>
    <w:qFormat/>
    <w:uiPriority w:val="0"/>
    <w:rPr>
      <w:rFonts w:ascii="Calibri" w:hAnsi="Calibri" w:eastAsia="Calibri"/>
      <w:sz w:val="22"/>
      <w:szCs w:val="22"/>
    </w:rPr>
  </w:style>
  <w:style w:type="character" w:customStyle="1" w:styleId="68">
    <w:name w:val="页脚 Char"/>
    <w:basedOn w:val="30"/>
    <w:link w:val="17"/>
    <w:autoRedefine/>
    <w:qFormat/>
    <w:uiPriority w:val="99"/>
    <w:rPr>
      <w:rFonts w:asciiTheme="minorHAnsi" w:hAnsiTheme="minorHAnsi" w:eastAsiaTheme="minorEastAsia" w:cstheme="minorBidi"/>
      <w:kern w:val="2"/>
      <w:sz w:val="18"/>
      <w:szCs w:val="24"/>
    </w:rPr>
  </w:style>
  <w:style w:type="character" w:customStyle="1" w:styleId="69">
    <w:name w:val="目录 9 Char"/>
    <w:link w:val="24"/>
    <w:qFormat/>
    <w:uiPriority w:val="39"/>
    <w:rPr>
      <w:szCs w:val="22"/>
    </w:rPr>
  </w:style>
  <w:style w:type="character" w:customStyle="1" w:styleId="70">
    <w:name w:val="普通(网站) Char"/>
    <w:link w:val="25"/>
    <w:qFormat/>
    <w:uiPriority w:val="0"/>
    <w:rPr>
      <w:rFonts w:ascii="Arial Unicode MS" w:hAnsi="Arial Unicode MS" w:eastAsia="Calibri" w:cs="Times New Roman"/>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cz</Company>
  <Pages>83</Pages>
  <Words>53790</Words>
  <Characters>56204</Characters>
  <Lines>533</Lines>
  <Paragraphs>150</Paragraphs>
  <TotalTime>1</TotalTime>
  <ScaleCrop>false</ScaleCrop>
  <LinksUpToDate>false</LinksUpToDate>
  <CharactersWithSpaces>61511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2023-07-07T03:53:00Z</dcterms:created>
  <dc:creator>NTKO</dc:creator>
  <cp:lastModifiedBy>岛是孤独</cp:lastModifiedBy>
  <cp:lastPrinted>2024-12-06T00:46:00Z</cp:lastPrinted>
  <dcterms:modified xsi:type="dcterms:W3CDTF">2024-12-12T09:23:30Z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71A3A1E2D47746318C497DE1B334BE44_13</vt:lpwstr>
  </property>
</Properties>
</file>